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color w:val="000000"/>
          <w:sz w:val="44"/>
          <w:szCs w:val="44"/>
          <w:lang w:eastAsia="zh-CN"/>
        </w:rPr>
      </w:pPr>
      <w:r>
        <w:rPr>
          <w:rFonts w:hint="eastAsia" w:ascii="方正小标宋简体" w:hAnsi="方正小标宋简体" w:eastAsia="方正小标宋简体" w:cs="方正小标宋简体"/>
          <w:b w:val="0"/>
          <w:color w:val="000000"/>
          <w:sz w:val="44"/>
          <w:szCs w:val="44"/>
        </w:rPr>
        <w:t>彭阳县古城镇</w:t>
      </w:r>
      <w:r>
        <w:rPr>
          <w:rFonts w:hint="eastAsia" w:ascii="方正小标宋简体" w:hAnsi="方正小标宋简体" w:eastAsia="方正小标宋简体" w:cs="方正小标宋简体"/>
          <w:b w:val="0"/>
          <w:color w:val="000000"/>
          <w:sz w:val="44"/>
          <w:szCs w:val="44"/>
          <w:lang w:eastAsia="zh-CN"/>
        </w:rPr>
        <w:t>海口村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val="0"/>
          <w:color w:val="000000"/>
          <w:sz w:val="44"/>
          <w:szCs w:val="44"/>
        </w:rPr>
        <w:t>村庄规划（2022-2035</w:t>
      </w:r>
      <w:r>
        <w:rPr>
          <w:rFonts w:hint="eastAsia" w:ascii="方正小标宋简体" w:hAnsi="方正小标宋简体" w:eastAsia="方正小标宋简体" w:cs="方正小标宋简体"/>
          <w:b w:val="0"/>
          <w:color w:val="000000"/>
          <w:sz w:val="44"/>
          <w:szCs w:val="44"/>
          <w:lang w:eastAsia="zh-CN"/>
        </w:rPr>
        <w:t>年</w:t>
      </w:r>
      <w:r>
        <w:rPr>
          <w:rFonts w:hint="eastAsia" w:ascii="方正小标宋简体" w:hAnsi="方正小标宋简体" w:eastAsia="方正小标宋简体" w:cs="方正小标宋简体"/>
          <w:b w:val="0"/>
          <w:color w:val="000000"/>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仿宋_GB2312" w:cs="Times New Roman"/>
          <w:b w:val="0"/>
          <w:bCs w:val="0"/>
          <w:color w:val="000000"/>
          <w:sz w:val="32"/>
          <w:szCs w:val="32"/>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规划范围与规划期限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本次村庄规划范围为</w:t>
      </w:r>
      <w:r>
        <w:rPr>
          <w:rFonts w:hint="default" w:ascii="Times New Roman" w:hAnsi="Times New Roman" w:eastAsia="仿宋_GB2312" w:cs="Times New Roman"/>
          <w:b w:val="0"/>
          <w:bCs w:val="0"/>
          <w:sz w:val="32"/>
          <w:szCs w:val="32"/>
          <w:lang w:eastAsia="zh-CN"/>
        </w:rPr>
        <w:t>海口村</w:t>
      </w:r>
      <w:r>
        <w:rPr>
          <w:rFonts w:hint="default" w:ascii="Times New Roman" w:hAnsi="Times New Roman" w:eastAsia="仿宋_GB2312" w:cs="Times New Roman"/>
          <w:b w:val="0"/>
          <w:bCs w:val="0"/>
          <w:sz w:val="32"/>
          <w:szCs w:val="32"/>
        </w:rPr>
        <w:t>域范围内全部国土空间，含</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个村民小组，全域国土空间总面积</w:t>
      </w:r>
      <w:r>
        <w:rPr>
          <w:rFonts w:hint="default" w:ascii="Times New Roman" w:hAnsi="Times New Roman" w:eastAsia="仿宋_GB2312" w:cs="Times New Roman"/>
          <w:b w:val="0"/>
          <w:bCs w:val="0"/>
          <w:sz w:val="32"/>
          <w:szCs w:val="32"/>
          <w:lang w:val="en-US" w:eastAsia="zh-CN"/>
        </w:rPr>
        <w:t>2742.55</w:t>
      </w:r>
      <w:r>
        <w:rPr>
          <w:rFonts w:hint="default" w:ascii="Times New Roman" w:hAnsi="Times New Roman" w:eastAsia="仿宋_GB2312" w:cs="Times New Roman"/>
          <w:b w:val="0"/>
          <w:bCs w:val="0"/>
          <w:sz w:val="32"/>
          <w:szCs w:val="32"/>
        </w:rPr>
        <w:t>公顷（合</w:t>
      </w:r>
      <w:r>
        <w:rPr>
          <w:rFonts w:hint="default" w:ascii="Times New Roman" w:hAnsi="Times New Roman" w:eastAsia="仿宋_GB2312" w:cs="Times New Roman"/>
          <w:b w:val="0"/>
          <w:bCs w:val="0"/>
          <w:sz w:val="32"/>
          <w:szCs w:val="32"/>
          <w:lang w:val="en-US" w:eastAsia="zh-CN"/>
        </w:rPr>
        <w:t>41138.25</w:t>
      </w:r>
      <w:r>
        <w:rPr>
          <w:rFonts w:hint="default" w:ascii="Times New Roman" w:hAnsi="Times New Roman" w:eastAsia="仿宋_GB2312" w:cs="Times New Roman"/>
          <w:b w:val="0"/>
          <w:bCs w:val="0"/>
          <w:sz w:val="32"/>
          <w:szCs w:val="32"/>
        </w:rPr>
        <w:t>亩）。村庄规划期限原则上与上位国土空间规划保持一致，并与乡村振兴战略规划衔接。本次村庄规划期限为2022-2035年，规划基期年为202</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年，规划近期至2025年，远期至2035年。</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目标定位与规模确定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1、村庄分类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彭阳县国土空间总体规划（2021-2035年）</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，确定</w:t>
      </w:r>
      <w:r>
        <w:rPr>
          <w:rFonts w:hint="default" w:ascii="Times New Roman" w:hAnsi="Times New Roman" w:eastAsia="仿宋_GB2312" w:cs="Times New Roman"/>
          <w:b w:val="0"/>
          <w:bCs w:val="0"/>
          <w:sz w:val="32"/>
          <w:szCs w:val="32"/>
          <w:lang w:eastAsia="zh-CN"/>
        </w:rPr>
        <w:t>海口村</w:t>
      </w:r>
      <w:r>
        <w:rPr>
          <w:rFonts w:hint="default" w:ascii="Times New Roman" w:hAnsi="Times New Roman" w:eastAsia="仿宋_GB2312" w:cs="Times New Roman"/>
          <w:b w:val="0"/>
          <w:bCs w:val="0"/>
          <w:sz w:val="32"/>
          <w:szCs w:val="32"/>
        </w:rPr>
        <w:t>为特色保护类</w:t>
      </w:r>
      <w:r>
        <w:rPr>
          <w:rFonts w:hint="default" w:ascii="Times New Roman" w:hAnsi="Times New Roman" w:eastAsia="仿宋_GB2312" w:cs="Times New Roman"/>
          <w:b w:val="0"/>
          <w:bCs w:val="0"/>
          <w:sz w:val="32"/>
          <w:szCs w:val="32"/>
          <w:lang w:val="en-US" w:eastAsia="zh-CN"/>
        </w:rPr>
        <w:t>村庄</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2、村庄定位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color w:val="E36C0A"/>
          <w:sz w:val="32"/>
          <w:szCs w:val="32"/>
          <w:lang w:eastAsia="zh-CN"/>
        </w:rPr>
      </w:pPr>
      <w:r>
        <w:rPr>
          <w:rFonts w:hint="default" w:ascii="Times New Roman" w:hAnsi="Times New Roman" w:eastAsia="仿宋_GB2312" w:cs="Times New Roman"/>
          <w:b w:val="0"/>
          <w:bCs w:val="0"/>
          <w:color w:val="auto"/>
          <w:sz w:val="32"/>
          <w:szCs w:val="32"/>
          <w:lang w:eastAsia="zh-CN"/>
        </w:rPr>
        <w:t>本次规划以乡村振兴为依托，以产业兴村、实干强村、政策助村为核心，大力推进乡村文化、产业以及风貌的全面发展，通过对村庄发展现状及发展要素的分析，依托其优越的区位交通条件，衍生产业链。</w:t>
      </w:r>
      <w:r>
        <w:rPr>
          <w:rFonts w:hint="default" w:ascii="Times New Roman" w:hAnsi="Times New Roman" w:eastAsia="仿宋_GB2312" w:cs="Times New Roman"/>
          <w:b w:val="0"/>
          <w:bCs w:val="0"/>
          <w:color w:val="auto"/>
          <w:sz w:val="32"/>
          <w:szCs w:val="32"/>
          <w:lang w:val="en-US" w:eastAsia="zh-CN"/>
        </w:rPr>
        <w:t>以特色</w:t>
      </w:r>
      <w:r>
        <w:rPr>
          <w:rFonts w:hint="default" w:ascii="Times New Roman" w:hAnsi="Times New Roman" w:eastAsia="仿宋_GB2312" w:cs="Times New Roman"/>
          <w:b w:val="0"/>
          <w:bCs w:val="0"/>
          <w:color w:val="auto"/>
          <w:sz w:val="32"/>
          <w:szCs w:val="32"/>
          <w:lang w:eastAsia="zh-CN"/>
        </w:rPr>
        <w:t>种养殖为主导产业，</w:t>
      </w:r>
      <w:r>
        <w:rPr>
          <w:rFonts w:hint="default" w:ascii="Times New Roman" w:hAnsi="Times New Roman" w:eastAsia="仿宋_GB2312" w:cs="Times New Roman"/>
          <w:b w:val="0"/>
          <w:bCs w:val="0"/>
          <w:color w:val="auto"/>
          <w:sz w:val="32"/>
          <w:szCs w:val="32"/>
          <w:lang w:val="en-US" w:eastAsia="zh-CN"/>
        </w:rPr>
        <w:t>农产品初加工</w:t>
      </w:r>
      <w:r>
        <w:rPr>
          <w:rFonts w:hint="default" w:ascii="Times New Roman" w:hAnsi="Times New Roman" w:eastAsia="仿宋_GB2312" w:cs="Times New Roman"/>
          <w:b w:val="0"/>
          <w:bCs w:val="0"/>
          <w:color w:val="auto"/>
          <w:sz w:val="32"/>
          <w:szCs w:val="32"/>
          <w:lang w:eastAsia="zh-CN"/>
        </w:rPr>
        <w:t>为辅助产业，以</w:t>
      </w:r>
      <w:r>
        <w:rPr>
          <w:rFonts w:hint="default" w:ascii="Times New Roman" w:hAnsi="Times New Roman" w:eastAsia="仿宋_GB2312" w:cs="Times New Roman"/>
          <w:b w:val="0"/>
          <w:bCs w:val="0"/>
          <w:color w:val="auto"/>
          <w:sz w:val="32"/>
          <w:szCs w:val="32"/>
          <w:lang w:val="en-US" w:eastAsia="zh-CN"/>
        </w:rPr>
        <w:t>规模化、标准化种养殖</w:t>
      </w:r>
      <w:r>
        <w:rPr>
          <w:rFonts w:hint="default" w:ascii="Times New Roman" w:hAnsi="Times New Roman" w:eastAsia="仿宋_GB2312" w:cs="Times New Roman"/>
          <w:b w:val="0"/>
          <w:bCs w:val="0"/>
          <w:color w:val="auto"/>
          <w:sz w:val="32"/>
          <w:szCs w:val="32"/>
          <w:lang w:eastAsia="zh-CN"/>
        </w:rPr>
        <w:t>为基础大力发展第一产业，配套</w:t>
      </w:r>
      <w:r>
        <w:rPr>
          <w:rFonts w:hint="default" w:ascii="Times New Roman" w:hAnsi="Times New Roman" w:eastAsia="仿宋_GB2312" w:cs="Times New Roman"/>
          <w:b w:val="0"/>
          <w:bCs w:val="0"/>
          <w:color w:val="auto"/>
          <w:sz w:val="32"/>
          <w:szCs w:val="32"/>
          <w:lang w:val="en-US" w:eastAsia="zh-CN"/>
        </w:rPr>
        <w:t>肉牛屠宰加工</w:t>
      </w:r>
      <w:r>
        <w:rPr>
          <w:rFonts w:hint="default" w:ascii="Times New Roman" w:hAnsi="Times New Roman" w:eastAsia="仿宋_GB2312" w:cs="Times New Roman"/>
          <w:b w:val="0"/>
          <w:bCs w:val="0"/>
          <w:color w:val="auto"/>
          <w:sz w:val="32"/>
          <w:szCs w:val="32"/>
          <w:lang w:eastAsia="zh-CN"/>
        </w:rPr>
        <w:t>产业，将</w:t>
      </w:r>
      <w:r>
        <w:rPr>
          <w:rFonts w:hint="default" w:ascii="Times New Roman" w:hAnsi="Times New Roman" w:eastAsia="仿宋_GB2312" w:cs="Times New Roman"/>
          <w:b w:val="0"/>
          <w:bCs w:val="0"/>
          <w:color w:val="auto"/>
          <w:sz w:val="32"/>
          <w:szCs w:val="32"/>
          <w:lang w:val="en-US" w:eastAsia="zh-CN"/>
        </w:rPr>
        <w:t>海口村</w:t>
      </w:r>
      <w:r>
        <w:rPr>
          <w:rFonts w:hint="default" w:ascii="Times New Roman" w:hAnsi="Times New Roman" w:eastAsia="仿宋_GB2312" w:cs="Times New Roman"/>
          <w:b w:val="0"/>
          <w:bCs w:val="0"/>
          <w:color w:val="auto"/>
          <w:sz w:val="32"/>
          <w:szCs w:val="32"/>
          <w:lang w:eastAsia="zh-CN"/>
        </w:rPr>
        <w:t>打造为</w:t>
      </w:r>
      <w:r>
        <w:rPr>
          <w:rFonts w:hint="default" w:ascii="Times New Roman" w:hAnsi="Times New Roman" w:eastAsia="仿宋_GB2312" w:cs="Times New Roman"/>
          <w:b w:val="0"/>
          <w:bCs w:val="0"/>
          <w:color w:val="auto"/>
          <w:sz w:val="32"/>
          <w:szCs w:val="32"/>
          <w:lang w:val="en-US" w:eastAsia="zh-CN"/>
        </w:rPr>
        <w:t>生态宜居、环境优美、设施完善的特色种养</w:t>
      </w:r>
      <w:r>
        <w:rPr>
          <w:rFonts w:hint="default" w:ascii="Times New Roman" w:hAnsi="Times New Roman" w:eastAsia="仿宋_GB2312" w:cs="Times New Roman"/>
          <w:b w:val="0"/>
          <w:bCs w:val="0"/>
          <w:color w:val="auto"/>
          <w:sz w:val="32"/>
          <w:szCs w:val="32"/>
          <w:lang w:eastAsia="zh-CN"/>
        </w:rPr>
        <w:t>示范村。</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国土空间总体格局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海口村</w:t>
      </w:r>
      <w:r>
        <w:rPr>
          <w:rFonts w:hint="default" w:ascii="Times New Roman" w:hAnsi="Times New Roman" w:eastAsia="仿宋_GB2312" w:cs="Times New Roman"/>
          <w:b w:val="0"/>
          <w:bCs w:val="0"/>
          <w:sz w:val="32"/>
          <w:szCs w:val="32"/>
        </w:rPr>
        <w:t>本次规划国土总面积</w:t>
      </w:r>
      <w:r>
        <w:rPr>
          <w:rFonts w:hint="default" w:ascii="Times New Roman" w:hAnsi="Times New Roman" w:eastAsia="仿宋_GB2312" w:cs="Times New Roman"/>
          <w:b w:val="0"/>
          <w:bCs w:val="0"/>
          <w:sz w:val="32"/>
          <w:szCs w:val="32"/>
          <w:lang w:val="en-US" w:eastAsia="zh-CN"/>
        </w:rPr>
        <w:t>2742.55</w:t>
      </w:r>
      <w:r>
        <w:rPr>
          <w:rFonts w:hint="default" w:ascii="Times New Roman" w:hAnsi="Times New Roman" w:eastAsia="仿宋_GB2312" w:cs="Times New Roman"/>
          <w:b w:val="0"/>
          <w:bCs w:val="0"/>
          <w:sz w:val="32"/>
          <w:szCs w:val="32"/>
        </w:rPr>
        <w:t>公顷，本次规划划定</w:t>
      </w:r>
      <w:r>
        <w:rPr>
          <w:rFonts w:hint="default" w:ascii="Times New Roman" w:hAnsi="Times New Roman" w:eastAsia="仿宋_GB2312" w:cs="Times New Roman"/>
          <w:b w:val="0"/>
          <w:bCs w:val="0"/>
          <w:sz w:val="32"/>
          <w:szCs w:val="32"/>
          <w:lang w:eastAsia="zh-CN"/>
        </w:rPr>
        <w:t>海口村</w:t>
      </w:r>
      <w:r>
        <w:rPr>
          <w:rFonts w:hint="default" w:ascii="Times New Roman" w:hAnsi="Times New Roman" w:eastAsia="仿宋_GB2312" w:cs="Times New Roman"/>
          <w:b w:val="0"/>
          <w:bCs w:val="0"/>
          <w:sz w:val="32"/>
          <w:szCs w:val="32"/>
        </w:rPr>
        <w:t>农业</w:t>
      </w:r>
      <w:r>
        <w:rPr>
          <w:rFonts w:hint="default" w:ascii="Times New Roman" w:hAnsi="Times New Roman" w:eastAsia="仿宋_GB2312" w:cs="Times New Roman"/>
          <w:b w:val="0"/>
          <w:bCs w:val="0"/>
          <w:sz w:val="32"/>
          <w:szCs w:val="32"/>
          <w:lang w:val="en-US" w:eastAsia="zh-CN"/>
        </w:rPr>
        <w:t>生产</w:t>
      </w:r>
      <w:r>
        <w:rPr>
          <w:rFonts w:hint="default" w:ascii="Times New Roman" w:hAnsi="Times New Roman" w:eastAsia="仿宋_GB2312" w:cs="Times New Roman"/>
          <w:b w:val="0"/>
          <w:bCs w:val="0"/>
          <w:sz w:val="32"/>
          <w:szCs w:val="32"/>
        </w:rPr>
        <w:t>空间面积</w:t>
      </w:r>
      <w:r>
        <w:rPr>
          <w:rFonts w:hint="default" w:ascii="Times New Roman" w:hAnsi="Times New Roman" w:eastAsia="仿宋_GB2312" w:cs="Times New Roman"/>
          <w:b w:val="0"/>
          <w:bCs w:val="0"/>
          <w:sz w:val="32"/>
          <w:szCs w:val="32"/>
          <w:lang w:val="en-US" w:eastAsia="zh-CN"/>
        </w:rPr>
        <w:t>417.43</w:t>
      </w:r>
      <w:r>
        <w:rPr>
          <w:rFonts w:hint="default" w:ascii="Times New Roman" w:hAnsi="Times New Roman" w:eastAsia="仿宋_GB2312" w:cs="Times New Roman"/>
          <w:b w:val="0"/>
          <w:bCs w:val="0"/>
          <w:sz w:val="32"/>
          <w:szCs w:val="32"/>
        </w:rPr>
        <w:t>公顷，占村域总用地面积的</w:t>
      </w:r>
      <w:r>
        <w:rPr>
          <w:rFonts w:hint="default" w:ascii="Times New Roman" w:hAnsi="Times New Roman" w:eastAsia="仿宋_GB2312" w:cs="Times New Roman"/>
          <w:b w:val="0"/>
          <w:bCs w:val="0"/>
          <w:sz w:val="32"/>
          <w:szCs w:val="32"/>
          <w:lang w:val="en-US" w:eastAsia="zh-CN"/>
        </w:rPr>
        <w:t>15.22</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；生态</w:t>
      </w:r>
      <w:r>
        <w:rPr>
          <w:rFonts w:hint="default" w:ascii="Times New Roman" w:hAnsi="Times New Roman" w:eastAsia="仿宋_GB2312" w:cs="Times New Roman"/>
          <w:b w:val="0"/>
          <w:bCs w:val="0"/>
          <w:sz w:val="32"/>
          <w:szCs w:val="32"/>
          <w:lang w:val="en-US" w:eastAsia="zh-CN"/>
        </w:rPr>
        <w:t>保护</w:t>
      </w:r>
      <w:r>
        <w:rPr>
          <w:rFonts w:hint="default" w:ascii="Times New Roman" w:hAnsi="Times New Roman" w:eastAsia="仿宋_GB2312" w:cs="Times New Roman"/>
          <w:b w:val="0"/>
          <w:bCs w:val="0"/>
          <w:sz w:val="32"/>
          <w:szCs w:val="32"/>
          <w:lang w:eastAsia="zh-CN"/>
        </w:rPr>
        <w:t>空间面积为</w:t>
      </w:r>
      <w:r>
        <w:rPr>
          <w:rFonts w:hint="default" w:ascii="Times New Roman" w:hAnsi="Times New Roman" w:eastAsia="仿宋_GB2312" w:cs="Times New Roman"/>
          <w:b w:val="0"/>
          <w:bCs w:val="0"/>
          <w:sz w:val="32"/>
          <w:szCs w:val="32"/>
          <w:lang w:val="en-US" w:eastAsia="zh-CN"/>
        </w:rPr>
        <w:t>2261.80</w:t>
      </w:r>
      <w:r>
        <w:rPr>
          <w:rFonts w:hint="default" w:ascii="Times New Roman" w:hAnsi="Times New Roman" w:eastAsia="仿宋_GB2312" w:cs="Times New Roman"/>
          <w:b w:val="0"/>
          <w:bCs w:val="0"/>
          <w:sz w:val="32"/>
          <w:szCs w:val="32"/>
          <w:lang w:eastAsia="zh-CN"/>
        </w:rPr>
        <w:t>公顷，占村域总用地面积的</w:t>
      </w:r>
      <w:r>
        <w:rPr>
          <w:rFonts w:hint="default" w:ascii="Times New Roman" w:hAnsi="Times New Roman" w:eastAsia="仿宋_GB2312" w:cs="Times New Roman"/>
          <w:b w:val="0"/>
          <w:bCs w:val="0"/>
          <w:sz w:val="32"/>
          <w:szCs w:val="32"/>
          <w:lang w:val="en-US" w:eastAsia="zh-CN"/>
        </w:rPr>
        <w:t>82.41</w:t>
      </w:r>
      <w:r>
        <w:rPr>
          <w:rFonts w:hint="default" w:ascii="Times New Roman" w:hAnsi="Times New Roman" w:eastAsia="仿宋_GB2312" w:cs="Times New Roman"/>
          <w:b w:val="0"/>
          <w:bCs w:val="0"/>
          <w:sz w:val="32"/>
          <w:szCs w:val="32"/>
          <w:lang w:eastAsia="zh-CN"/>
        </w:rPr>
        <w:t>%；建设空间面积</w:t>
      </w:r>
      <w:r>
        <w:rPr>
          <w:rFonts w:hint="default" w:ascii="Times New Roman" w:hAnsi="Times New Roman" w:eastAsia="仿宋_GB2312" w:cs="Times New Roman"/>
          <w:b w:val="0"/>
          <w:bCs w:val="0"/>
          <w:sz w:val="32"/>
          <w:szCs w:val="32"/>
          <w:lang w:val="en-US" w:eastAsia="zh-CN"/>
        </w:rPr>
        <w:t>65.04</w:t>
      </w:r>
      <w:r>
        <w:rPr>
          <w:rFonts w:hint="default" w:ascii="Times New Roman" w:hAnsi="Times New Roman" w:eastAsia="仿宋_GB2312" w:cs="Times New Roman"/>
          <w:b w:val="0"/>
          <w:bCs w:val="0"/>
          <w:sz w:val="32"/>
          <w:szCs w:val="32"/>
          <w:lang w:eastAsia="zh-CN"/>
        </w:rPr>
        <w:t>公顷，占村域总用地面积的</w:t>
      </w:r>
      <w:r>
        <w:rPr>
          <w:rFonts w:hint="default" w:ascii="Times New Roman" w:hAnsi="Times New Roman" w:eastAsia="仿宋_GB2312" w:cs="Times New Roman"/>
          <w:b w:val="0"/>
          <w:bCs w:val="0"/>
          <w:sz w:val="32"/>
          <w:szCs w:val="32"/>
          <w:lang w:val="en-US" w:eastAsia="zh-CN"/>
        </w:rPr>
        <w:t>2.37</w:t>
      </w:r>
      <w:r>
        <w:rPr>
          <w:rFonts w:hint="default" w:ascii="Times New Roman" w:hAnsi="Times New Roman" w:eastAsia="仿宋_GB2312" w:cs="Times New Roman"/>
          <w:b w:val="0"/>
          <w:bCs w:val="0"/>
          <w:sz w:val="32"/>
          <w:szCs w:val="32"/>
          <w:lang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Times New Roman" w:hAnsi="Times New Roman" w:eastAsia="仿宋_GB2312" w:cs="Times New Roman"/>
          <w:b w:val="0"/>
          <w:bCs w:val="0"/>
          <w:sz w:val="32"/>
          <w:szCs w:val="32"/>
        </w:rPr>
      </w:pPr>
      <w:bookmarkStart w:id="0" w:name="_Toc109978909"/>
      <w:bookmarkStart w:id="1" w:name="_Toc141627608"/>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产业</w:t>
      </w:r>
      <w:bookmarkEnd w:id="0"/>
      <w:bookmarkEnd w:id="1"/>
      <w:r>
        <w:rPr>
          <w:rFonts w:hint="default" w:ascii="Times New Roman" w:hAnsi="Times New Roman" w:eastAsia="仿宋_GB2312" w:cs="Times New Roman"/>
          <w:b w:val="0"/>
          <w:bCs w:val="0"/>
          <w:sz w:val="32"/>
          <w:szCs w:val="32"/>
        </w:rPr>
        <w:t>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（1）第一产业发展规划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①</w:t>
      </w:r>
      <w:r>
        <w:rPr>
          <w:rFonts w:hint="default" w:ascii="Times New Roman" w:hAnsi="Times New Roman" w:eastAsia="仿宋_GB2312" w:cs="Times New Roman"/>
          <w:b w:val="0"/>
          <w:bCs w:val="0"/>
          <w:sz w:val="32"/>
          <w:szCs w:val="32"/>
        </w:rPr>
        <w:t>扩大特色农产品种植规模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种养结合，推行以需定产、为养而种，提高特色农产品供应与家畜养殖规模、利用模式的适配度，促进种养良性循环。优先发展玉米以及其他等市场急需的优质特色农产品，兼顾其他特色农产品品种。优先保障肉牛养殖的优质特色农产品需求，逐步提高肉牛肉羊优质特色农产品饲喂比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推进特色农产品料专业化生产，健全特色农产品料供应体系，增加玉米</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杂粮</w:t>
      </w:r>
      <w:r>
        <w:rPr>
          <w:rFonts w:hint="default" w:ascii="Times New Roman" w:hAnsi="Times New Roman" w:eastAsia="仿宋_GB2312" w:cs="Times New Roman"/>
          <w:b w:val="0"/>
          <w:bCs w:val="0"/>
          <w:sz w:val="32"/>
          <w:szCs w:val="32"/>
        </w:rPr>
        <w:t>种植等紧缺特色农产品自给率，加快特色农产品料产业发展步伐。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②</w:t>
      </w:r>
      <w:r>
        <w:rPr>
          <w:rFonts w:hint="default" w:ascii="Times New Roman" w:hAnsi="Times New Roman" w:eastAsia="仿宋_GB2312" w:cs="Times New Roman"/>
          <w:b w:val="0"/>
          <w:bCs w:val="0"/>
          <w:sz w:val="32"/>
          <w:szCs w:val="32"/>
        </w:rPr>
        <w:t>扩大肉牛养殖群体规模，加快推进肉牛养殖标准化进程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坚持政府扶持、多元投入，以创建肉牛产业示范区为重点，加快肉牛标准化养殖基地建设，鼓励支持规模养殖场改造提升基础设施条件，扩大养殖规模</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围绕畜禽良种化、养殖设施化、生产规范化、防疫制度化、粪污无害化和监管常态化，提高标准化规模养殖水平，形成标准化养殖主体。深入开展养殖标准化示范创建活动，高标准创建一批生产高效、环境友好、产品安全、管理先进、防疫规范的肉牛标准化示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③发展林下经济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林下种植：依托森林、林地及其生态环境，遵循可持续经营原则，在林内开展的种植活动，包括人工种植和野生植物资源抚育，可以修复野生中药材资源及林下种植中药材，生长在六盘山上的黄芪、秦艽、柴胡、黄芩、板蓝根等中药材种质资源突出，种群分布集中，依托林地中药材资源优势，把中药材产业与精准扶贫、乡村振兴、绿化美化相结合，不断推进科技创新，着力拓展规范化种植基地，精心培育加工企业，积极开拓营销市场，大力促进中医药传承创新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林下养殖：依托森林、林地及其生态环境，遵循可持续经营原则和循环经济原理，在林内开展的生态养殖活动，推广林禽、林蜂等养殖模式。以地方特色优质品种为主，根据生态承载力，在林下适度放养鸡、鸭、鹅等禽类。根据蜜源植物资源状况，合理确定养殖密度，在林中、林缘放养中华蜜蜂等蜂种，发展养蜂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（2）第二产业发展规划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推进特色产业提质增效，推动农副产品由低端向高端转化，结合村庄现有优势，培育壮大农村经济合作组织，打造“产、加、销、研”一体化现代农业产业链。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推进农产品初加工。可根据现有草畜养殖与玉米种植，配套优质饲料加工，应用特色农产品调制新技术，助力种养结合发展；也可以结合周边发展肉类加工的计划，加强与周边区域或相关肉制品加工企业联动，形成稳定需求，促进草畜产业扩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林下采集加工，充分利用大自然为人类提供的丰富资源，对森林中可利用的非木质资源进行的采集与加工活动，主要包括山野菜、野果、野生菌类等的采集和初加工活动，建设中草药初加工车间，对中草药进行切割、分拣、包装，对药材营养成分破坏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（3）第三产业发展规划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①电商服务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发挥电商物流优势，运用互联网+展销模式，形成线下线上的销售渠道，促进产品的推广，形成区域性品牌。做足“互联网+农业”，拓展产业市场空间，做强做大电商体系，打通“农产品”全产业链，建立完善的电商及互联网直播带货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采用“农产品+可视农业”模式，依靠互联网、物联网技术及现代视频技术将农作物生长过程呈现在公众面前，让消费者放心购买优质产品。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开拓牛肉产品销售市场。大力开拓宁夏市场，开展多种方式的对接合作，打通销售渠道，让</w:t>
      </w:r>
      <w:r>
        <w:rPr>
          <w:rFonts w:hint="default" w:ascii="Times New Roman" w:hAnsi="Times New Roman" w:eastAsia="仿宋_GB2312" w:cs="Times New Roman"/>
          <w:b w:val="0"/>
          <w:bCs w:val="0"/>
          <w:sz w:val="32"/>
          <w:szCs w:val="32"/>
          <w:lang w:val="en-US" w:eastAsia="zh-CN"/>
        </w:rPr>
        <w:t>海口</w:t>
      </w:r>
      <w:r>
        <w:rPr>
          <w:rFonts w:hint="default" w:ascii="Times New Roman" w:hAnsi="Times New Roman" w:eastAsia="仿宋_GB2312" w:cs="Times New Roman"/>
          <w:b w:val="0"/>
          <w:bCs w:val="0"/>
          <w:sz w:val="32"/>
          <w:szCs w:val="32"/>
        </w:rPr>
        <w:t>村肉牛养殖融入乡村战略，冲出宁夏，走向各地。同时依托天猫、京东等电子销售平台和抖音、快手等直播平台以及地方贸易市场，采取线下直营+线上销售等多种方式拓宽销售渠道。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2、产业布局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结合村庄现有条件及产业特色，至规划期末，</w:t>
      </w:r>
      <w:r>
        <w:rPr>
          <w:rFonts w:hint="default" w:ascii="Times New Roman" w:hAnsi="Times New Roman" w:eastAsia="仿宋_GB2312" w:cs="Times New Roman"/>
          <w:b w:val="0"/>
          <w:bCs w:val="0"/>
          <w:sz w:val="32"/>
          <w:szCs w:val="32"/>
          <w:lang w:eastAsia="zh-CN"/>
        </w:rPr>
        <w:t>海口村</w:t>
      </w:r>
      <w:r>
        <w:rPr>
          <w:rFonts w:hint="default" w:ascii="Times New Roman" w:hAnsi="Times New Roman" w:eastAsia="仿宋_GB2312" w:cs="Times New Roman"/>
          <w:b w:val="0"/>
          <w:bCs w:val="0"/>
          <w:sz w:val="32"/>
          <w:szCs w:val="32"/>
        </w:rPr>
        <w:t>形成“一心、一带、四片区”的产业发展布局，对村庄产业功能分区具体如下：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一心：以村委会、沿街商业为中心的公共服务中心。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一带：集聚发展带，依托青彭公路集聚发展，种植景观苗木，形成集特色乡村建筑与设施、田园风貌与自然景观、特色农产品等元素共集聚的村庄核心发展带。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四片区：规划以村庄现状格局为基础，通过产业整合形成生态涵养</w:t>
      </w:r>
      <w:r>
        <w:rPr>
          <w:rFonts w:hint="default" w:ascii="Times New Roman" w:hAnsi="Times New Roman" w:eastAsia="仿宋_GB2312" w:cs="Times New Roman"/>
          <w:b w:val="0"/>
          <w:bCs w:val="0"/>
          <w:sz w:val="32"/>
          <w:szCs w:val="32"/>
          <w:lang w:val="en-US" w:eastAsia="zh-CN"/>
        </w:rPr>
        <w:t>保护</w:t>
      </w:r>
      <w:r>
        <w:rPr>
          <w:rFonts w:hint="default" w:ascii="Times New Roman" w:hAnsi="Times New Roman" w:eastAsia="仿宋_GB2312" w:cs="Times New Roman"/>
          <w:b w:val="0"/>
          <w:bCs w:val="0"/>
          <w:sz w:val="32"/>
          <w:szCs w:val="32"/>
        </w:rPr>
        <w:t>区、</w:t>
      </w:r>
      <w:r>
        <w:rPr>
          <w:rFonts w:hint="default" w:ascii="Times New Roman" w:hAnsi="Times New Roman" w:eastAsia="仿宋_GB2312" w:cs="Times New Roman"/>
          <w:b w:val="0"/>
          <w:bCs w:val="0"/>
          <w:sz w:val="32"/>
          <w:szCs w:val="32"/>
          <w:lang w:val="en-US" w:eastAsia="zh-CN"/>
        </w:rPr>
        <w:t>传统作物种植示范区、生态宜居区、现代种植示范区</w:t>
      </w:r>
      <w:r>
        <w:rPr>
          <w:rFonts w:hint="default" w:ascii="Times New Roman" w:hAnsi="Times New Roman" w:eastAsia="仿宋_GB2312" w:cs="Times New Roman"/>
          <w:b w:val="0"/>
          <w:bCs w:val="0"/>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b w:val="0"/>
          <w:bCs w:val="0"/>
          <w:sz w:val="32"/>
          <w:szCs w:val="32"/>
        </w:rPr>
        <w:t>历史文化传承与保护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1、保护区划定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保护范围划定：根据宁政发</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2017</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56号文件划定东海子遗址的保护范围为：向东至二壕梁、马场梁，向西至马场台，向东南至彭阳县海口村，向西南至小南岔梁，向北至小湾台；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建设控制地带：根据宁文发</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2017</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94号文件划定东海子遗址的建设控制地带为：以保护范围线为基线四面外延200米。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2、开发与利用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在文物保护单位的建设控制地带内，不得建设污染文物保护单位及其环境的设施，不得进行可能影响文物保护单位安全及其环境的活动。对已有的污染文物保护单位及其环境的设施，应当限期治理。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（1）建设控制地带的用地不得作为城乡建设用地；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建设控制地带为限制建设区，因特殊情况需要进行工程建设、爆破、钻探、挖掘等作业的，不得破坏遗址的历史风貌；工程设计方案应当根据文物保护单位的级别，经相应的文物行政部门同意后，报自然资源部门批准。展示服务设施的建筑高度不得超过4米，建筑形式和风格应当体现当地的地域建筑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（3）建设控制地带内任何可能对遗址景观环境产生影响的建筑物或者构筑物，在建设前应当依法进行环境影响评价。</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六、</w:t>
      </w:r>
      <w:r>
        <w:rPr>
          <w:rFonts w:hint="default" w:ascii="Times New Roman" w:hAnsi="Times New Roman" w:eastAsia="仿宋_GB2312" w:cs="Times New Roman"/>
          <w:b w:val="0"/>
          <w:bCs w:val="0"/>
          <w:sz w:val="32"/>
          <w:szCs w:val="32"/>
        </w:rPr>
        <w:t>基础设施与公共服务设施规划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基础设施规划主要包括梳理路网结构，完善道路交通体系，补齐基础设施短板，配套完善给排水、环卫、供热等基础设施，满足村民日常生活需求。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2、公共服务设施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（1）公共管理设施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利用现有村部现有综合服务平台，采用功能综合、用地结合的布局方式，集合村委会、党群活动、村民调解、信访维稳、医疗卫生、村庄警务、普法宣传、村务公示、村庄信息服务平台、电商产业服务平台，构建村庄综合管理服务的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（2）医疗卫生设施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海口村</w:t>
      </w:r>
      <w:r>
        <w:rPr>
          <w:rFonts w:hint="default" w:ascii="Times New Roman" w:hAnsi="Times New Roman" w:eastAsia="仿宋_GB2312" w:cs="Times New Roman"/>
          <w:b w:val="0"/>
          <w:bCs w:val="0"/>
          <w:sz w:val="32"/>
          <w:szCs w:val="32"/>
        </w:rPr>
        <w:t>现有卫生室一座，规划对村庄卫生室进行提升改造，打造标准化卫生室，提升医疗卫生服务水平。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（3）文体设施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现状村委会有活动广场1处，</w:t>
      </w:r>
      <w:r>
        <w:rPr>
          <w:rFonts w:hint="default" w:ascii="Times New Roman" w:hAnsi="Times New Roman" w:eastAsia="仿宋_GB2312" w:cs="Times New Roman"/>
          <w:b w:val="0"/>
          <w:bCs w:val="0"/>
          <w:sz w:val="32"/>
          <w:szCs w:val="32"/>
          <w:lang w:val="en-US" w:eastAsia="zh-CN"/>
        </w:rPr>
        <w:t>规划新增广场一处，位于海口组北侧，占地2500㎡，</w:t>
      </w:r>
      <w:r>
        <w:rPr>
          <w:rFonts w:hint="default" w:ascii="Times New Roman" w:hAnsi="Times New Roman" w:eastAsia="仿宋_GB2312" w:cs="Times New Roman"/>
          <w:b w:val="0"/>
          <w:bCs w:val="0"/>
          <w:sz w:val="32"/>
          <w:szCs w:val="32"/>
        </w:rPr>
        <w:t>配套基础娱乐设施和健身器材、休息座椅等</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保证各个村组村民能够便捷享有文化服务设施。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（4）社会福利设施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现状村庄</w:t>
      </w:r>
      <w:r>
        <w:rPr>
          <w:rFonts w:hint="default" w:ascii="Times New Roman" w:hAnsi="Times New Roman" w:eastAsia="仿宋_GB2312" w:cs="Times New Roman"/>
          <w:b w:val="0"/>
          <w:bCs w:val="0"/>
          <w:sz w:val="32"/>
          <w:szCs w:val="32"/>
          <w:lang w:val="en-US" w:eastAsia="zh-CN"/>
        </w:rPr>
        <w:t>没有社会福利设施，</w:t>
      </w:r>
      <w:r>
        <w:rPr>
          <w:rFonts w:hint="default" w:ascii="Times New Roman" w:hAnsi="Times New Roman" w:eastAsia="仿宋_GB2312" w:cs="Times New Roman"/>
          <w:b w:val="0"/>
          <w:bCs w:val="0"/>
          <w:sz w:val="32"/>
          <w:szCs w:val="32"/>
        </w:rPr>
        <w:t>本次规划设置社会福利设施</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规划增设老年饭桌1处</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规划公共服务设施一览表</w:t>
      </w:r>
    </w:p>
    <w:tbl>
      <w:tblPr>
        <w:tblStyle w:val="9"/>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336"/>
        <w:gridCol w:w="531"/>
        <w:gridCol w:w="1309"/>
        <w:gridCol w:w="779"/>
        <w:gridCol w:w="3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943" w:type="dxa"/>
            <w:gridSpan w:val="2"/>
            <w:shd w:val="clear" w:color="auto" w:fill="BEBEBE" w:themeFill="background1" w:themeFillShade="BF"/>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设施名称</w:t>
            </w:r>
          </w:p>
        </w:tc>
        <w:tc>
          <w:tcPr>
            <w:tcW w:w="531" w:type="dxa"/>
            <w:shd w:val="clear" w:color="auto" w:fill="BEBEBE" w:themeFill="background1" w:themeFillShade="BF"/>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个数</w:t>
            </w:r>
          </w:p>
        </w:tc>
        <w:tc>
          <w:tcPr>
            <w:tcW w:w="1309" w:type="dxa"/>
            <w:shd w:val="clear" w:color="auto" w:fill="BEBEBE" w:themeFill="background1" w:themeFillShade="BF"/>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空间位置</w:t>
            </w:r>
          </w:p>
        </w:tc>
        <w:tc>
          <w:tcPr>
            <w:tcW w:w="779" w:type="dxa"/>
            <w:shd w:val="clear" w:color="auto" w:fill="BEBEBE" w:themeFill="background1" w:themeFillShade="BF"/>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建筑面积（㎡）</w:t>
            </w:r>
          </w:p>
        </w:tc>
        <w:tc>
          <w:tcPr>
            <w:tcW w:w="3954" w:type="dxa"/>
            <w:shd w:val="clear" w:color="auto" w:fill="BEBEBE" w:themeFill="background1" w:themeFillShade="BF"/>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建设类型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607"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公共管理</w:t>
            </w:r>
          </w:p>
        </w:tc>
        <w:tc>
          <w:tcPr>
            <w:tcW w:w="1336"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村委会</w:t>
            </w:r>
          </w:p>
        </w:tc>
        <w:tc>
          <w:tcPr>
            <w:tcW w:w="531"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30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村部</w:t>
            </w:r>
          </w:p>
        </w:tc>
        <w:tc>
          <w:tcPr>
            <w:tcW w:w="77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350</w:t>
            </w:r>
          </w:p>
        </w:tc>
        <w:tc>
          <w:tcPr>
            <w:tcW w:w="3954"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保留提升，完善其他功能，包括“两栏两站九室”：村务公开栏、宣传栏；村委会办公室、党组织办公室、社区服务站、财务室、警务室、卫生室、科技服务点、图书室、社会保障服务室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07" w:type="dxa"/>
            <w:vMerge w:val="restart"/>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文化体育</w:t>
            </w:r>
          </w:p>
        </w:tc>
        <w:tc>
          <w:tcPr>
            <w:tcW w:w="1336" w:type="dxa"/>
            <w:vMerge w:val="restart"/>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活动广场</w:t>
            </w:r>
          </w:p>
        </w:tc>
        <w:tc>
          <w:tcPr>
            <w:tcW w:w="531"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30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村部</w:t>
            </w:r>
          </w:p>
        </w:tc>
        <w:tc>
          <w:tcPr>
            <w:tcW w:w="77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p>
        </w:tc>
        <w:tc>
          <w:tcPr>
            <w:tcW w:w="3954"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改造提升</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增加健身器材及休息座椅等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607" w:type="dxa"/>
            <w:vMerge w:val="continue"/>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p>
        </w:tc>
        <w:tc>
          <w:tcPr>
            <w:tcW w:w="1336" w:type="dxa"/>
            <w:vMerge w:val="continue"/>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p>
        </w:tc>
        <w:tc>
          <w:tcPr>
            <w:tcW w:w="531"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w:t>
            </w:r>
          </w:p>
        </w:tc>
        <w:tc>
          <w:tcPr>
            <w:tcW w:w="130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海口组</w:t>
            </w:r>
          </w:p>
        </w:tc>
        <w:tc>
          <w:tcPr>
            <w:tcW w:w="77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2500</w:t>
            </w:r>
          </w:p>
        </w:tc>
        <w:tc>
          <w:tcPr>
            <w:tcW w:w="3954"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新增，配套健身器材及休息座椅等，为村民提供公共活动场所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商业服务</w:t>
            </w:r>
          </w:p>
        </w:tc>
        <w:tc>
          <w:tcPr>
            <w:tcW w:w="1336"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小型购销超市、日用百货店</w:t>
            </w:r>
          </w:p>
        </w:tc>
        <w:tc>
          <w:tcPr>
            <w:tcW w:w="531"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w:t>
            </w:r>
          </w:p>
        </w:tc>
        <w:tc>
          <w:tcPr>
            <w:tcW w:w="130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村庄主要道路两侧</w:t>
            </w:r>
          </w:p>
        </w:tc>
        <w:tc>
          <w:tcPr>
            <w:tcW w:w="77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p>
        </w:tc>
        <w:tc>
          <w:tcPr>
            <w:tcW w:w="3954"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保留现状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医疗卫生</w:t>
            </w:r>
          </w:p>
        </w:tc>
        <w:tc>
          <w:tcPr>
            <w:tcW w:w="1336"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卫生室</w:t>
            </w:r>
          </w:p>
        </w:tc>
        <w:tc>
          <w:tcPr>
            <w:tcW w:w="531"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30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村部</w:t>
            </w:r>
          </w:p>
        </w:tc>
        <w:tc>
          <w:tcPr>
            <w:tcW w:w="77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p>
        </w:tc>
        <w:tc>
          <w:tcPr>
            <w:tcW w:w="3954"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提升改造</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打造边标准化卫生室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7"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社会福利</w:t>
            </w:r>
          </w:p>
        </w:tc>
        <w:tc>
          <w:tcPr>
            <w:tcW w:w="1336"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老年饭桌</w:t>
            </w:r>
          </w:p>
        </w:tc>
        <w:tc>
          <w:tcPr>
            <w:tcW w:w="531"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w:t>
            </w:r>
          </w:p>
        </w:tc>
        <w:tc>
          <w:tcPr>
            <w:tcW w:w="130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村部</w:t>
            </w:r>
          </w:p>
        </w:tc>
        <w:tc>
          <w:tcPr>
            <w:tcW w:w="779"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rPr>
            </w:pPr>
          </w:p>
        </w:tc>
        <w:tc>
          <w:tcPr>
            <w:tcW w:w="3954" w:type="dxa"/>
            <w:vAlign w:val="center"/>
          </w:tcPr>
          <w:p>
            <w:pPr>
              <w:pStyle w:val="2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新增，解决村庄老年人的吃饭问题</w:t>
            </w:r>
          </w:p>
        </w:tc>
      </w:tr>
    </w:tbl>
    <w:p>
      <w:pPr>
        <w:pStyle w:val="12"/>
        <w:numPr>
          <w:ilvl w:val="0"/>
          <w:numId w:val="0"/>
        </w:numPr>
        <w:ind w:leftChars="0" w:firstLine="640" w:firstLineChars="200"/>
        <w:jc w:val="left"/>
        <w:rPr>
          <w:rFonts w:ascii="Times New Roman" w:hAnsi="Times New Roman" w:eastAsia="黑体" w:cs="黑体"/>
          <w:sz w:val="32"/>
          <w:szCs w:val="32"/>
        </w:rPr>
      </w:pPr>
      <w:r>
        <w:rPr>
          <w:rFonts w:hint="eastAsia" w:ascii="Times New Roman" w:hAnsi="Times New Roman" w:eastAsia="黑体" w:cs="黑体"/>
          <w:sz w:val="32"/>
          <w:szCs w:val="32"/>
          <w:lang w:eastAsia="zh-CN"/>
        </w:rPr>
        <w:t>七、</w:t>
      </w:r>
      <w:r>
        <w:rPr>
          <w:rFonts w:hint="eastAsia" w:ascii="Times New Roman" w:hAnsi="Times New Roman" w:eastAsia="黑体" w:cs="黑体"/>
          <w:sz w:val="32"/>
          <w:szCs w:val="32"/>
        </w:rPr>
        <w:t>近期行动计划</w:t>
      </w:r>
    </w:p>
    <w:p>
      <w:pPr>
        <w:ind w:firstLine="640" w:firstLineChars="20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近期行动计划主要以海口村现状存在特征问题及村庄居民急需要解决的问题为导向，以乡村振兴战略的实施为主要抓手，以促进村庄居民增收为主要目标，完善村庄公共服务设施和基础设施，改善村庄人居环境，打造宜居宜业村庄。</w:t>
      </w:r>
    </w:p>
    <w:p>
      <w:pPr>
        <w:ind w:firstLine="640" w:firstLineChars="200"/>
        <w:jc w:val="left"/>
        <w:rPr>
          <w:rFonts w:ascii="Times New Roman" w:hAnsi="Times New Roman"/>
          <w:sz w:val="28"/>
          <w:szCs w:val="28"/>
        </w:rPr>
      </w:pPr>
      <w:r>
        <w:rPr>
          <w:rFonts w:hint="eastAsia" w:ascii="Times New Roman" w:hAnsi="Times New Roman" w:eastAsia="仿宋_GB2312" w:cs="仿宋_GB2312"/>
          <w:sz w:val="32"/>
          <w:szCs w:val="32"/>
          <w:lang w:val="en-US" w:eastAsia="zh-CN"/>
        </w:rPr>
        <w:t>根据规划确定的目标任务，综合考虑人力、财力和村民需求，确定海口村近期行动计划年限为2023-2025年，计划投资4778万。以实现近期目标为导向，围绕产业发展、公共服务设施、基础设施建设、国土综合整治和人居环境整治进行近期行动计划项目梳理。</w:t>
      </w:r>
    </w:p>
    <w:p>
      <w:pPr>
        <w:ind w:firstLine="643" w:firstLineChars="200"/>
        <w:jc w:val="center"/>
        <w:rPr>
          <w:rFonts w:ascii="Times New Roman" w:hAnsi="Times New Roman" w:eastAsia="仿宋_GB2312" w:cs="仿宋_GB2312"/>
          <w:b/>
          <w:sz w:val="32"/>
          <w:szCs w:val="32"/>
        </w:rPr>
      </w:pPr>
    </w:p>
    <w:p>
      <w:pPr>
        <w:ind w:firstLine="643" w:firstLineChars="200"/>
        <w:jc w:val="center"/>
        <w:rPr>
          <w:rFonts w:ascii="Times New Roman" w:hAnsi="Times New Roman" w:eastAsia="仿宋_GB2312" w:cs="仿宋_GB2312"/>
          <w:b/>
          <w:sz w:val="32"/>
          <w:szCs w:val="32"/>
        </w:rPr>
      </w:pPr>
      <w:r>
        <w:rPr>
          <w:rFonts w:ascii="Times New Roman" w:hAnsi="Times New Roman" w:eastAsia="仿宋_GB2312" w:cs="仿宋_GB2312"/>
          <w:b/>
          <w:sz w:val="32"/>
          <w:szCs w:val="32"/>
        </w:rPr>
        <w:t>近期建设行动计划表</w:t>
      </w:r>
    </w:p>
    <w:tbl>
      <w:tblPr>
        <w:tblStyle w:val="8"/>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680"/>
        <w:gridCol w:w="461"/>
        <w:gridCol w:w="1087"/>
        <w:gridCol w:w="1741"/>
        <w:gridCol w:w="806"/>
        <w:gridCol w:w="766"/>
        <w:gridCol w:w="1117"/>
        <w:gridCol w:w="881"/>
        <w:gridCol w:w="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项目类型</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项目（工程）名称</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建设内容</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建设主体</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资金估算（万元）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资金来源</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建设方式（新建/改建/扩建）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全域综合整治</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高标准农田建设</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对现有农田提质改造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550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农业农村局涉农资金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低效耕地地块整治</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海口村即可恢复地块2.04公顷；海口村进行恢复耕种地块40.25公顷</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农业农村局涉农资金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生态修复</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新增林地在村庄主要对外公路及村庄内部主要干路、支路两侧或单侧栽植观赏林，村庄内现有裸土地需结合实际情况进行造林，减少土地裸露的情况。</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自然资源局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部门整合资金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基础设施建设和公共服务设施建设</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道路工程</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村道硬化，硬化村庄道路522米</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交通运输局专项资金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给水设施</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管网优化</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县级财政资金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污水处理系统</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铺设污水管网，建设污水处理站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自治区生态环境厅专项资金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清洁能源改造</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村庄内实施清洁能源改造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争取发改局清洁能源改造资金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环卫</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分类垃圾箱128盏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县级财政资金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道路亮化</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新装路灯147个</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县级财政资金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彭阳县茹河灌区骨干供水工程</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建设乃河蓄水池及取水建筑物</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水务局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水利发展资金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产业发展</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蔬菜种植基地（含瓜菜初加工厂房）</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新建蔬菜保鲜库 1 座、分拣棚 1 座、农产品包装棚一座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农村一二三产融合项目奖补资金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养殖园区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新建标准化养殖园区</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整合行业部门资金+企业投资</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彭阳县古城镇饲草加工及配送中心建设项目</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生产绿色有机饲料</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政府专项资金+企业投资</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人居环境整治</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居民点布局规划</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彭阳县古城镇新增居民点（海口村）</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新增居民点1.15公顷，约25座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住房和城乡建设局专项资金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彭阳县地质灾害应急避险宅基地建设项目</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海口村有2处滑坡地质灾害点，威胁居民，实施地质灾害应急避险宅基地建设项目，新建宅基地400㎡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住房和城乡建设局专项资金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新建农民住宅5座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政府专项资金+地方配套资金+村民自筹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拆除</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拆除村庄零散民居16户，撤并至村庄海口组集中布局</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政府专项资金+地方配套资金+村民自筹</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村委会</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提升改造现有村委会，改造内容包括增加使用面积、广场、区域、拓展等</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政府专项资金+地方配套资金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活动广场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提升改造现有活动广场，配套休息座椅及健身器材等</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政府专项资金+地方配套资金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活动广场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规划新增广场一处，位于海口组北侧</w:t>
            </w:r>
            <w:bookmarkStart w:id="2" w:name="_GoBack"/>
            <w:bookmarkEnd w:id="2"/>
            <w:r>
              <w:rPr>
                <w:rFonts w:hint="eastAsia" w:ascii="仿宋_GB2312" w:hAnsi="仿宋_GB2312" w:eastAsia="仿宋_GB2312" w:cs="仿宋_GB2312"/>
                <w:i w:val="0"/>
                <w:iCs w:val="0"/>
                <w:color w:val="000000"/>
                <w:kern w:val="0"/>
                <w:sz w:val="22"/>
                <w:szCs w:val="22"/>
                <w:u w:val="none"/>
                <w:lang w:val="en-US" w:eastAsia="zh-CN" w:bidi="ar"/>
              </w:rPr>
              <w:t>，占地2500㎡，配套基础娱乐设施和健身器材、休息座椅等，保证各个村组村民能够便捷享有文化服务设施。</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古城镇人民政府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政府专项资金+地方配套资金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卫生室</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提升改造村庄现有医务室，打造标准化卫生室</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卫生健康局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村集体资金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老年饭桌</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新增老年饭桌1处，建筑面积为120㎡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民政局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25</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村集体资金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彭阳县在海口村落实的国家级及自治区级项目</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宝中铁路彭阳段铁路建设项目</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六盘山片区中卫至平凉至庆阳段铁路工程建设</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交通运输局专项资金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G327道路拓宽工程</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拓宽海口村域内327国道</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交通运输局专项资金</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改扩建</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44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4778</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jc w:val="center"/>
              <w:rPr>
                <w:rFonts w:hint="eastAsia" w:ascii="仿宋_GB2312" w:hAnsi="仿宋_GB2312" w:eastAsia="仿宋_GB2312" w:cs="仿宋_GB2312"/>
                <w:i w:val="0"/>
                <w:iCs w:val="0"/>
                <w:color w:val="000000"/>
                <w:sz w:val="22"/>
                <w:szCs w:val="22"/>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line="240" w:lineRule="auto"/>
              <w:ind w:left="0" w:right="0" w:firstLine="0" w:firstLineChars="0"/>
              <w:rPr>
                <w:rFonts w:hint="eastAsia" w:ascii="仿宋_GB2312" w:hAnsi="仿宋_GB2312" w:eastAsia="仿宋_GB2312" w:cs="仿宋_GB2312"/>
                <w:i w:val="0"/>
                <w:iCs w:val="0"/>
                <w:color w:val="000000"/>
                <w:sz w:val="22"/>
                <w:szCs w:val="22"/>
                <w:u w:val="none"/>
              </w:rPr>
            </w:pPr>
          </w:p>
        </w:tc>
      </w:tr>
    </w:tbl>
    <w:p>
      <w:pPr>
        <w:jc w:val="center"/>
        <w:rPr>
          <w:rFonts w:ascii="Times New Roman" w:hAnsi="Times New Roman"/>
          <w:b/>
          <w:sz w:val="28"/>
          <w:szCs w:val="28"/>
        </w:rPr>
      </w:pPr>
    </w:p>
    <w:p>
      <w:pPr>
        <w:jc w:val="center"/>
        <w:rPr>
          <w:rFonts w:ascii="Times New Roman" w:hAnsi="Times New Roman"/>
          <w:b/>
          <w:sz w:val="28"/>
          <w:szCs w:val="28"/>
        </w:rPr>
      </w:pPr>
    </w:p>
    <w:p>
      <w:pPr>
        <w:jc w:val="center"/>
        <w:rPr>
          <w:rFonts w:ascii="Times New Roman" w:hAnsi="Times New Roman"/>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DC3F9D"/>
    <w:multiLevelType w:val="multilevel"/>
    <w:tmpl w:val="9ADC3F9D"/>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pStyle w:val="2"/>
      <w:suff w:val="nothing"/>
      <w:lvlText w:val="%3．"/>
      <w:lvlJc w:val="left"/>
      <w:pPr>
        <w:ind w:left="78"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8EF3348"/>
    <w:multiLevelType w:val="multilevel"/>
    <w:tmpl w:val="78EF3348"/>
    <w:lvl w:ilvl="0" w:tentative="0">
      <w:start w:val="1"/>
      <w:numFmt w:val="decimal"/>
      <w:isLgl/>
      <w:suff w:val="space"/>
      <w:lvlText w:val="%1"/>
      <w:lvlJc w:val="left"/>
      <w:pPr>
        <w:ind w:left="0" w:firstLine="0"/>
      </w:pPr>
      <w:rPr>
        <w:rFonts w:hint="eastAsia" w:ascii="黑体" w:eastAsia="黑体"/>
      </w:rPr>
    </w:lvl>
    <w:lvl w:ilvl="1" w:tentative="0">
      <w:start w:val="1"/>
      <w:numFmt w:val="decimal"/>
      <w:isLgl/>
      <w:suff w:val="space"/>
      <w:lvlText w:val="%1.%2"/>
      <w:lvlJc w:val="left"/>
      <w:pPr>
        <w:ind w:left="0" w:firstLine="0"/>
      </w:pPr>
      <w:rPr>
        <w:rFonts w:hint="eastAsia" w:ascii="黑体" w:eastAsia="黑体"/>
      </w:rPr>
    </w:lvl>
    <w:lvl w:ilvl="2" w:tentative="0">
      <w:start w:val="1"/>
      <w:numFmt w:val="decimal"/>
      <w:isLgl/>
      <w:suff w:val="space"/>
      <w:lvlText w:val="%1.%2.%3"/>
      <w:lvlJc w:val="left"/>
      <w:pPr>
        <w:ind w:left="0" w:firstLine="0"/>
      </w:pPr>
      <w:rPr>
        <w:rFonts w:hint="eastAsia" w:ascii="黑体" w:eastAsia="黑体"/>
      </w:rPr>
    </w:lvl>
    <w:lvl w:ilvl="3" w:tentative="0">
      <w:start w:val="1"/>
      <w:numFmt w:val="decimal"/>
      <w:pStyle w:val="3"/>
      <w:isLgl/>
      <w:suff w:val="nothing"/>
      <w:lvlText w:val="（%4）"/>
      <w:lvlJc w:val="left"/>
      <w:pPr>
        <w:ind w:left="0" w:firstLine="0"/>
      </w:pPr>
      <w:rPr>
        <w:rFonts w:hint="eastAsia" w:ascii="黑体" w:eastAsia="黑体"/>
      </w:rPr>
    </w:lvl>
    <w:lvl w:ilvl="4" w:tentative="0">
      <w:start w:val="1"/>
      <w:numFmt w:val="decimal"/>
      <w:isLgl/>
      <w:suff w:val="nothing"/>
      <w:lvlText w:val="%5）"/>
      <w:lvlJc w:val="left"/>
      <w:pPr>
        <w:ind w:left="-2" w:firstLine="340"/>
      </w:pPr>
      <w:rPr>
        <w:rFonts w:hint="eastAsia" w:ascii="黑体" w:eastAsia="黑体"/>
      </w:rPr>
    </w:lvl>
    <w:lvl w:ilvl="5" w:tentative="0">
      <w:start w:val="1"/>
      <w:numFmt w:val="decimal"/>
      <w:lvlRestart w:val="3"/>
      <w:isLgl/>
      <w:suff w:val="nothing"/>
      <w:lvlText w:val="（%6）"/>
      <w:lvlJc w:val="left"/>
      <w:pPr>
        <w:ind w:left="0" w:firstLine="340"/>
      </w:pPr>
      <w:rPr>
        <w:rFonts w:hint="eastAsia" w:ascii="宋体" w:eastAsia="宋体"/>
        <w:lang w:val="en-US"/>
      </w:rPr>
    </w:lvl>
    <w:lvl w:ilvl="6" w:tentative="0">
      <w:start w:val="1"/>
      <w:numFmt w:val="decimal"/>
      <w:lvlRestart w:val="4"/>
      <w:isLgl/>
      <w:suff w:val="nothing"/>
      <w:lvlText w:val="%7）"/>
      <w:lvlJc w:val="left"/>
      <w:pPr>
        <w:ind w:left="0" w:firstLine="567"/>
      </w:pPr>
      <w:rPr>
        <w:rFonts w:hint="eastAsia" w:ascii="宋体" w:eastAsia="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00583B8C"/>
    <w:rsid w:val="000117E1"/>
    <w:rsid w:val="00053033"/>
    <w:rsid w:val="001D247C"/>
    <w:rsid w:val="0034360C"/>
    <w:rsid w:val="004006DE"/>
    <w:rsid w:val="00421DE0"/>
    <w:rsid w:val="00493F69"/>
    <w:rsid w:val="004A2E99"/>
    <w:rsid w:val="00537612"/>
    <w:rsid w:val="0058115C"/>
    <w:rsid w:val="00583B8C"/>
    <w:rsid w:val="00602DA7"/>
    <w:rsid w:val="00644CC1"/>
    <w:rsid w:val="006F2E96"/>
    <w:rsid w:val="00734DA3"/>
    <w:rsid w:val="007F45EC"/>
    <w:rsid w:val="008536E4"/>
    <w:rsid w:val="00893197"/>
    <w:rsid w:val="008B0F9B"/>
    <w:rsid w:val="00935DF2"/>
    <w:rsid w:val="00A83618"/>
    <w:rsid w:val="00B17A9C"/>
    <w:rsid w:val="00BF583F"/>
    <w:rsid w:val="00C35F05"/>
    <w:rsid w:val="00F0116D"/>
    <w:rsid w:val="00F03B5D"/>
    <w:rsid w:val="00F16B0D"/>
    <w:rsid w:val="00FC77D4"/>
    <w:rsid w:val="02DC5CB3"/>
    <w:rsid w:val="03A2514E"/>
    <w:rsid w:val="04FF3EDA"/>
    <w:rsid w:val="07E07FF3"/>
    <w:rsid w:val="08F85810"/>
    <w:rsid w:val="0CC71781"/>
    <w:rsid w:val="10BC35A9"/>
    <w:rsid w:val="11AB1672"/>
    <w:rsid w:val="14F670A8"/>
    <w:rsid w:val="171E28E6"/>
    <w:rsid w:val="1C123A59"/>
    <w:rsid w:val="1CE57850"/>
    <w:rsid w:val="1DE56FA0"/>
    <w:rsid w:val="1F7237CF"/>
    <w:rsid w:val="204C2272"/>
    <w:rsid w:val="20D858B3"/>
    <w:rsid w:val="2A866380"/>
    <w:rsid w:val="2D5664DE"/>
    <w:rsid w:val="2D740E8F"/>
    <w:rsid w:val="2E262354"/>
    <w:rsid w:val="37EC2DA0"/>
    <w:rsid w:val="3B40671F"/>
    <w:rsid w:val="3BE949C1"/>
    <w:rsid w:val="3C3976F6"/>
    <w:rsid w:val="3F6F78D3"/>
    <w:rsid w:val="45CF69D6"/>
    <w:rsid w:val="45E85CE9"/>
    <w:rsid w:val="47C63E08"/>
    <w:rsid w:val="49B760FE"/>
    <w:rsid w:val="4AD52CE0"/>
    <w:rsid w:val="4D37414A"/>
    <w:rsid w:val="54493DF7"/>
    <w:rsid w:val="559B4B26"/>
    <w:rsid w:val="5C5D48E3"/>
    <w:rsid w:val="5DB76275"/>
    <w:rsid w:val="613A0929"/>
    <w:rsid w:val="64947310"/>
    <w:rsid w:val="67177D85"/>
    <w:rsid w:val="682664D1"/>
    <w:rsid w:val="73334198"/>
    <w:rsid w:val="765C7562"/>
    <w:rsid w:val="768B4EF2"/>
    <w:rsid w:val="78E633F6"/>
    <w:rsid w:val="78EF09E8"/>
    <w:rsid w:val="7B9A1258"/>
    <w:rsid w:val="7C647170"/>
    <w:rsid w:val="7D006E99"/>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numPr>
        <w:ilvl w:val="2"/>
        <w:numId w:val="1"/>
      </w:numPr>
      <w:adjustRightInd w:val="0"/>
      <w:snapToGrid w:val="0"/>
      <w:spacing w:before="100" w:beforeLines="100" w:beforeAutospacing="0" w:after="100" w:afterLines="100"/>
      <w:ind w:left="113"/>
      <w:outlineLvl w:val="2"/>
    </w:pPr>
    <w:rPr>
      <w:rFonts w:ascii="黑体" w:hAnsi="黑体" w:eastAsia="黑体"/>
      <w:b/>
      <w:bCs/>
      <w:sz w:val="28"/>
      <w:szCs w:val="32"/>
    </w:rPr>
  </w:style>
  <w:style w:type="paragraph" w:styleId="3">
    <w:name w:val="heading 4"/>
    <w:next w:val="1"/>
    <w:qFormat/>
    <w:uiPriority w:val="9"/>
    <w:pPr>
      <w:keepNext/>
      <w:keepLines/>
      <w:numPr>
        <w:ilvl w:val="3"/>
        <w:numId w:val="2"/>
      </w:numPr>
      <w:adjustRightInd w:val="0"/>
      <w:snapToGrid w:val="0"/>
      <w:spacing w:before="50" w:beforeLines="50" w:after="50" w:afterLines="50" w:line="240" w:lineRule="exact"/>
      <w:ind w:left="480" w:leftChars="200"/>
      <w:outlineLvl w:val="3"/>
    </w:pPr>
    <w:rPr>
      <w:rFonts w:ascii="宋体" w:hAnsi="宋体" w:eastAsia="黑体" w:cs="Times New Roman"/>
      <w:b/>
      <w:bCs/>
      <w:kern w:val="2"/>
      <w:sz w:val="24"/>
      <w:szCs w:val="28"/>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表格"/>
    <w:basedOn w:val="14"/>
    <w:link w:val="15"/>
    <w:qFormat/>
    <w:uiPriority w:val="0"/>
    <w:pPr>
      <w:jc w:val="center"/>
    </w:pPr>
    <w:rPr>
      <w:szCs w:val="21"/>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表格 Char"/>
    <w:basedOn w:val="7"/>
    <w:link w:val="13"/>
    <w:qFormat/>
    <w:uiPriority w:val="0"/>
    <w:rPr>
      <w:szCs w:val="21"/>
    </w:rPr>
  </w:style>
  <w:style w:type="character" w:customStyle="1" w:styleId="16">
    <w:name w:val="批注框文本 Char"/>
    <w:basedOn w:val="7"/>
    <w:link w:val="4"/>
    <w:semiHidden/>
    <w:qFormat/>
    <w:uiPriority w:val="99"/>
    <w:rPr>
      <w:sz w:val="18"/>
      <w:szCs w:val="18"/>
    </w:rPr>
  </w:style>
  <w:style w:type="paragraph" w:customStyle="1" w:styleId="17">
    <w:name w:val="图表名"/>
    <w:basedOn w:val="1"/>
    <w:link w:val="18"/>
    <w:qFormat/>
    <w:uiPriority w:val="0"/>
    <w:pPr>
      <w:jc w:val="center"/>
    </w:pPr>
    <w:rPr>
      <w:rFonts w:ascii="Times New Roman" w:hAnsi="Times New Roman" w:cs="Times New Roman"/>
      <w:b/>
      <w:sz w:val="24"/>
      <w:szCs w:val="21"/>
    </w:rPr>
  </w:style>
  <w:style w:type="character" w:customStyle="1" w:styleId="18">
    <w:name w:val="图表名 Char"/>
    <w:basedOn w:val="7"/>
    <w:link w:val="17"/>
    <w:qFormat/>
    <w:uiPriority w:val="0"/>
    <w:rPr>
      <w:rFonts w:ascii="Times New Roman" w:hAnsi="Times New Roman" w:cs="Times New Roman"/>
      <w:b/>
      <w:sz w:val="24"/>
      <w:szCs w:val="21"/>
    </w:rPr>
  </w:style>
  <w:style w:type="paragraph" w:customStyle="1" w:styleId="19">
    <w:name w:val="说明书正文"/>
    <w:basedOn w:val="1"/>
    <w:link w:val="21"/>
    <w:qFormat/>
    <w:uiPriority w:val="0"/>
    <w:pPr>
      <w:widowControl w:val="0"/>
      <w:adjustRightInd/>
      <w:snapToGrid/>
      <w:spacing w:before="0" w:beforeAutospacing="0" w:after="0" w:afterAutospacing="0" w:line="480" w:lineRule="exact"/>
    </w:pPr>
    <w:rPr>
      <w:rFonts w:eastAsia="宋体" w:asciiTheme="minorAscii" w:hAnsiTheme="minorAscii" w:cstheme="minorBidi"/>
    </w:rPr>
  </w:style>
  <w:style w:type="paragraph" w:customStyle="1" w:styleId="20">
    <w:name w:val="表格正文"/>
    <w:qFormat/>
    <w:uiPriority w:val="0"/>
    <w:pPr>
      <w:adjustRightInd w:val="0"/>
      <w:snapToGrid w:val="0"/>
      <w:jc w:val="center"/>
    </w:pPr>
    <w:rPr>
      <w:rFonts w:ascii="宋体" w:eastAsia="宋体" w:hAnsiTheme="minorHAnsi" w:cstheme="minorBidi"/>
      <w:kern w:val="2"/>
      <w:sz w:val="21"/>
      <w:szCs w:val="22"/>
      <w:lang w:val="en-US" w:eastAsia="zh-CN" w:bidi="ar-SA"/>
    </w:rPr>
  </w:style>
  <w:style w:type="character" w:customStyle="1" w:styleId="21">
    <w:name w:val="说明书正文 字符"/>
    <w:basedOn w:val="7"/>
    <w:link w:val="19"/>
    <w:qFormat/>
    <w:uiPriority w:val="0"/>
    <w:rPr>
      <w:rFonts w:eastAsia="宋体" w:asciiTheme="minorAscii" w:hAnsiTheme="minorAscii"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xyt</Company>
  <Pages>13</Pages>
  <Words>936</Words>
  <Characters>5341</Characters>
  <Lines>44</Lines>
  <Paragraphs>12</Paragraphs>
  <TotalTime>3</TotalTime>
  <ScaleCrop>false</ScaleCrop>
  <LinksUpToDate>false</LinksUpToDate>
  <CharactersWithSpaces>6265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2023-10-09T02:35:00Z</dcterms:created>
  <dc:creator>Rainbow</dc:creator>
  <cp:lastModifiedBy>彭阳局信息员</cp:lastModifiedBy>
  <dcterms:modified xsi:type="dcterms:W3CDTF">2024-03-18T01:12:20Z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C77798F1589F4843BDCE44903CFFA3D3_12</vt:lpwstr>
  </property>
</Properties>
</file>