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彭阳县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冯庄乡羊草湾村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村庄规划（20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-2035）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《彭阳县冯庄乡羊草湾村村庄规划（2022-2035）》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二、村庄类型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羊草湾村属于“整治改善类村庄”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三、规划范围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本次规划范围为羊草湾村行政区范围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四、规划期限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现状基期年为：2021年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近期为：2022-2025年；远期为：2026-2035年。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五、规划人口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规划近期户籍总人口约254人；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规划远期户籍总人口约239人。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color w:val="000000"/>
          <w:sz w:val="32"/>
          <w:szCs w:val="32"/>
        </w:rPr>
        <w:t>六、规划方案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把羊草湾村建设成为宜居、宜业的新时代美丽乡村。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羊草湾村村庄规划对村庄的总体发展定位为：大力发展现代化农业，推动农村农业产业优化升级，打造集“生产回归、生活回归、精神回归”于一体的生态宜居现代化乡村。依据羊草湾村现状，将羊草湾村打造为“生态+现代化农业产业新村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国土空间底线管控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3.1耕地和永久基本农田保护红线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按照永久基本农田“数量不减少、质量不降低、布局总体稳定”的原则，本次村庄规划未对永久基本农田进行调整，未占用永久基本农田。依据《基本农田保护条例》，其管控规则如下：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1、永久基本农田一经划定，不得擅自修改和调整规模与布局;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2、严格禁止占用基本农田进行绿色通道、绿化隔离带和防护林建设，禁止改变基本农田土壤性状发展林果业和挖塘养鱼，禁止对基本农田耕作层意造成永久性破坏;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3、禁止占用区内土地进行非农建设，禁止在区内建房、建窑、建坟、挖砂、采矿、取土、堆放固体废弃物或者进行其他破坏基本农田的活动;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3、种植设施不破坏耕地耕作层的，可以使用永久基本农田，不需补划;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4、重大能源、交通、水利、通信、军事设施等确实无法避开永久基本农田保护红线区，必须严格论证，按程序报批;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5、坚决防止永久基本农田“非农化”。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3.2耕地保有量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按照牢牢守住耕地红线，确保实有耕地数量基本稳定、质量有提升，全国耕地不少于18亿亩，保证粮食安全。规划严格落实上位规划划定的耕地保有量规模，高庄村耕地保有量面积149.18公顷。耕地管控规则如下：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1、实行最严格的耕地保护制度，严格控制将耕地转为非耕地，任何单位和个人不得擅自转变用途；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2、管控区内经批准建设占用的耕地，需落实“占补平衡”，补充与所占耕地数量、质量相当的耕地；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3、严格落实耕地保护措施，坚决制止耕地“非农化”，防止耕地“非粮化”；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4、不得随意占用耕地，确实占用，应经村民小组确认，村委会审查同意出具书面意见后，由镇政府按程序办理相关报批手续；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5、在不影响农业生产的条件下，允许区内土地适度进行农村道路、农田水利设施等基础设施项目建设；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6、鼓励在区内进行综合整治，增加有效耕地面积、提升耕地质量；区内现有其他零星农用地应优先调整为耕地。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3.3生态保护红线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规划严格落实上位规划划定生态保护红线成果。根据彭阳县生态保护红线划定成果，羊草湾村涉及生态保护红线，本次规划对生态保护红线不作调整。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生态保护红线管控规则如下：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1、土地的主导用途为生态与环境保护空间，禁止与功能不相符的建设;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2、对生态红线中具有特殊生态功能，如重要的水源涵养、生物多样性维护、水土保持、防风固沙、盐渍化等生态敏感区，应严禁改变用途;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3、对生态红线中一般功能的区域，应限制开发利用;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4、对生态红线中的林地禁牧区全年禁牧，在禁牧期间不得出现放牧现象;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5、保护好林地基础设施，监管好林地内防火工作，确保不发生火灾;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6、制止管护区域内的私挖乱垦行为。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3.4建设用地管控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1、农村宅基地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本村内划定农村宅基地6.63公顷，农村宅基地是指村庄居民用做住宅而占有、利用规划范围内集体所有的建设用地，包括建了房屋的土地、建过房屋但已无上盖物，不能居住的土地以及准备建房用的规划地。其管制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严格执行“一户一宅”政策，新建住宅的宅基地面积应按照《宁夏回族自治区土地管理条例》中的“农村村民住宅用地标准：使用水浇地的，每户不得超过270 m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；使用平川旱作耕地的，每户不得超过400 m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；使用坡地的，每户不得超过540 m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。”的规定进行规划设计，规划羊草湾村每户宅基地面积按照不得超过400 m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农村自建住宅每户建筑层数依据规划原则上不超过二层，建筑高度控制在7.5m以下；不得使用钢结构屋顶改造加层；私宅(含院落、附建等)建筑风格与周边环境保持和谐统一。不能保障一户拥有一处宅基地的村庄，乡镇人民政府可结合当地实际，采取集中建设公寓楼等措施保障农村村民实现户有所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新建建筑应满足退让要求，后退过境公路距离应遵守《公路安全保护条例》和其他相关规划要求，公路建筑控制区的范围，从公路用地外缘起向外的距离标准为：国道不少于20m，省道不少于15m， 县道不少于 10m,乡道不少于5m。属于高速公路的，公路建筑控制区的范围从公路用地外缘起向外的距离标准不少于100m;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现有宅基地超标的不得申请新建宅基地，鼓励超标宅基地、在城镇周边的、外出务工的“两栖人口”的宅基地有偿退出；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新增宅基地确需在规划范围外选址的，经三分之二村民代表同意后，在保证用地规模不变的前提下，方可按照相关程序调整布局。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2、集体经营性建设用地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本村内划定集体经营性建设用地0.5公顷，集体经营性建设用地是指农村经营性服务业用地，包括商业服务业用地、工业生产及其相应附属设施用地、用于物资储备、中转的场所及其相应附属设施。其管制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集体经营性建设用地应优先利用现有低效建设用地、闲置地和废弃地；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经营性建设用地入市应严格按照国家及地方相关法律法规执行；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商业服务业、工业、仓储等项目办理手续时，应严格执行国家、地方或行业相关用地标准。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3、基础设和公共服务设施用地管控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基础设施和公共服务设施用地主要为村内部的村委会、医疗卫生、党员活动中心、教育设施、村主路、支路、供水站、排水沟、路灯、绿地和健身器材、宣传栏、垃圾桶等。其管制规则如下：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优先保障公共服务设施、基础设施、村内交通用地及景观绿化用地需求；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坚持节约集约和保护资源的原则，各类基础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设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施项目在具体史用地规模时，应严格执行国家、宁夏回族自治区或行业相关用地标准，价失使用存量土地；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不得占用交通用地建房，在村内主要道路两侧建房应退后至少3m.村内房屋排水接口需向村民小组确认后再进行建设。垃圾收集点、公厕、污水处理设施等基础设施用地及综合服务站、基层综合性文化服务中心、卫生室、养老和教育等公共服务设施用地，村民不得随意占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基础设施和公共服务设施建设确需调整选址，要做好评估，尽量少占或不占优质耕地，依程序进行调整。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4、留白用地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为村庄发展预留空间，本村内划定留白用地0.52公顷。留白用地的管控如下：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留白用地作为村庄居住、农村公共公益设施、零星分散的乡村文旅设施及农村新产业、新业态等用地指标，在不占用永久基本农田和生态保护红线，并符合相关用途管制要求的前提下，在村域内灵活使用；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严格现状管控，原则上现状地上建筑只减不增：对于无建筑物、构筑物的实地留白用地，村委会应结合实际实施临时绿化并挂牌公示，“以绿看地”，严格管控。对于存在建筑物、构筑物的规划留白用地，应加强管控，合法建设可暂时予以保留，除用于民生需求外，不得随意改变用途或进行改扩建；违法建设予以严厉打击，并纳入拆违计划限期拆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在留白用地内擅自批准建设或进行违法建设的，依法依规严肃究责任。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、国土空间格局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将羊草湾村全域国土空间划定生态保护、农业生产和村庄建设三类空间，按照各类用地功能划分用途分区和控制线，并严格落实土地用途管制。规划至2035年，羊草湾村三类空间结构比为：生态保护空间319.87公顷：农业生产空间225.55公顷：村庄建设空间38.34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农业生产空间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划定农业生产空间，推动生产方式转型，丰富生产空间功能，加强乡村绿色发展动力。规划至2035年，羊草湾村划定农业生产空间225.55公顷，占村域土地总面积的38.7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生态保护空间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划定生态保护空间，守住生态底线，优化生态空间，提升生态系统功能。规划至2035年，羊草湾村划定生态保护空间318.87公顷，占村域土地总面积的54.72%。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4.3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村庄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建设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空间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划定村庄建设空间，重构生活空间格局，提升人居环境品质，共享乡村绿色发展成果。规划至2035年，羊草湾村划定村庄建设空间38.34公顷，占村域土地总面积的6.58%。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、国土空间总体布局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本村规划土地总面积582.77公顷。具体调整如下：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耕地：规划期末，耕地面积149.18公顷，占村域面积25.6%，较基期年减少8.21公顷，减少原因为县级国土空间规划交通项目占用；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林地：规划期末，林地面积268.79公顷，占村域面积46.12%，较基期年减少8.81公顷，减少原因为县级国土空间规划交通项目占用；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草地：规划期末，草地面积125.44公顷，占村域面积21.52%，较基期年减少4.42公顷，减少原因为搬迁居民点及留白用地占用；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农业设施建设用地：规划期末，农业设施建设用地面积8.38公顷，占村域面积1.44%，较基期年增加2.4公顷，减少原因为县级重点项目占用；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居住用地：规划期末，居住用地面积6.63公顷，占村域面积1.14%，较基期年增加1.24公顷，增加原因为县级重点项目占用原有宅基地，需新增集中居民点；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工矿用地：规划期末，工矿用地面积0.5公顷，占村域面积0.09%；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交通运输用地：规划期末，交通运输用地面积22.8公顷，占村域面积3.91%；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公用设施用地：规划期末，公用设施用地面积0.1公顷，占村域面积0.02%；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绿地与开敞空间用地：规划期末，绿地与开敞空间用地面积0.11公顷，较基期年保持增加0.11公顷，增加原因为原有广场用地地类细化；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cs="Times New Roman"/>
          <w:b w:val="0"/>
          <w:bCs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留白用地：规划期末，增加留白用地面积0.52公顷，占村域面积0.09%，增加留白用地主要用于今后村庄村民居住、公益设施建设、旅游发展、农产品加工、畜牧养殖及其他必要性建设等。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>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产业发展引导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1.第一产业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着力发展以小麦、玉米为主的旱作节水农业，在结构调整上取得新突破。在稳定粮食种植面积、提高单产质量的同时，把发展以人工牧草种植作为调整农业种植结构、实现增收致富的主攻方向，合理布局，大力扶持，整体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2.第二产业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依托县级重点饲草加工运输项目，围绕农业产业发展，促进粮食、饲草加工高质量发展、加快农业产业提质增效、农民就业增收和产业融合发展，打造粮食、饲草产品加工基地，提高产品附加值，拓宽农民收入渠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3.第三产业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劳务产业抓转型。以实现就业为目标，扎实做好劳动力转移和全民创业等工作，切实加快劳务产业转型升级。积极培育壮大劳务中介组织和经纪人队伍，狠抓技能培训，搞好维权服务，引导自主创业和返乡农民工创业，以创业带动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  <w:t xml:space="preserve">产业空间布局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bookmarkStart w:id="0" w:name="_Toc114523039"/>
      <w:bookmarkStart w:id="1" w:name="_Toc20291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羊草湾村主要以传统作物种殖为主，饲草种植加工产业为辅。总体形成“一心一轴五区”的产业发展格局。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一心：以村委会为核心打造产业咨询、技术指导为一体的综合服务中心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一轴：沿乡道201形成村庄发展主轴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五区：集中居住区以村民生活居住为主，散户养殖为辅；饲草养殖区为饲草加工产业提供原材料；生态林草种植区以生态保护为主，可适当发展林下经济；传统作物种植区以玉米、小麦、土豆等作物种植为主</w:t>
      </w:r>
      <w:bookmarkEnd w:id="0"/>
      <w:bookmarkEnd w:id="1"/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7、近期建设项目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lang w:val="en-US" w:eastAsia="zh-CN"/>
        </w:rPr>
        <w:t>主要包含4类11项，近期项目投资估算约为4347.63万元，其中：国土综合整治项目3988.63万元，基础设施和公共服务设施建设70万元，人居环境整治建设289万元。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tbl>
      <w:tblPr>
        <w:tblStyle w:val="9"/>
        <w:tblW w:w="1417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"/>
        <w:gridCol w:w="2114"/>
        <w:gridCol w:w="1530"/>
        <w:gridCol w:w="2263"/>
        <w:gridCol w:w="978"/>
        <w:gridCol w:w="762"/>
        <w:gridCol w:w="1276"/>
        <w:gridCol w:w="1385"/>
        <w:gridCol w:w="800"/>
        <w:gridCol w:w="2052"/>
        <w:gridCol w:w="5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tblHeader/>
          <w:jc w:val="center"/>
        </w:trPr>
        <w:tc>
          <w:tcPr>
            <w:tcW w:w="50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序号</w:t>
            </w:r>
          </w:p>
        </w:tc>
        <w:tc>
          <w:tcPr>
            <w:tcW w:w="2114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项目类型</w:t>
            </w:r>
          </w:p>
        </w:tc>
        <w:tc>
          <w:tcPr>
            <w:tcW w:w="15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项目（工程）名称</w:t>
            </w:r>
          </w:p>
        </w:tc>
        <w:tc>
          <w:tcPr>
            <w:tcW w:w="2263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建设内容</w:t>
            </w:r>
          </w:p>
        </w:tc>
        <w:tc>
          <w:tcPr>
            <w:tcW w:w="97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规模</w:t>
            </w:r>
          </w:p>
        </w:tc>
        <w:tc>
          <w:tcPr>
            <w:tcW w:w="76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单位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建设主体</w:t>
            </w:r>
          </w:p>
        </w:tc>
        <w:tc>
          <w:tcPr>
            <w:tcW w:w="138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资金估算（万元）</w:t>
            </w:r>
          </w:p>
        </w:tc>
        <w:tc>
          <w:tcPr>
            <w:tcW w:w="80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资金来源</w:t>
            </w:r>
          </w:p>
        </w:tc>
        <w:tc>
          <w:tcPr>
            <w:tcW w:w="205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建设方式（新建/改建/扩建）</w:t>
            </w:r>
          </w:p>
        </w:tc>
        <w:tc>
          <w:tcPr>
            <w:tcW w:w="509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1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国土综合整治</w:t>
            </w:r>
          </w:p>
        </w:tc>
        <w:tc>
          <w:tcPr>
            <w:tcW w:w="15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农用地整理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高标准农田建设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19.57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公顷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农业农村局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39.14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专项资金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2</w:t>
            </w:r>
          </w:p>
        </w:tc>
        <w:tc>
          <w:tcPr>
            <w:tcW w:w="2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15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一般农用地整理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1.45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公顷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农业农村局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2.18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专项资金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3</w:t>
            </w:r>
          </w:p>
        </w:tc>
        <w:tc>
          <w:tcPr>
            <w:tcW w:w="211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建设用地整理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复垦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1.54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公顷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自然资源局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2.31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专项资金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5</w:t>
            </w:r>
          </w:p>
        </w:tc>
        <w:tc>
          <w:tcPr>
            <w:tcW w:w="2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生态修复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造林绿化空间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263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公顷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自然资源局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3945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专项资金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7</w:t>
            </w:r>
          </w:p>
        </w:tc>
        <w:tc>
          <w:tcPr>
            <w:tcW w:w="2114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基础设施建设和公共服务设施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道路工程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彭阳县米冯公路至冯庄乡马陆洼公路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2800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交通运输局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——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财政收入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8</w:t>
            </w:r>
          </w:p>
        </w:tc>
        <w:tc>
          <w:tcPr>
            <w:tcW w:w="211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道路工程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村庄东南向进组道路硬化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700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冯庄乡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政府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70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财政收入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9</w:t>
            </w:r>
          </w:p>
        </w:tc>
        <w:tc>
          <w:tcPr>
            <w:tcW w:w="21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人居环境整治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居民点建设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新建宅基地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22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羊草湾村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264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财政收入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10</w:t>
            </w:r>
          </w:p>
        </w:tc>
        <w:tc>
          <w:tcPr>
            <w:tcW w:w="21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村委会扩建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将村委会扩建并增设法治建设宣传设施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50.00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平米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羊草湾村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委会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25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财政收入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改扩建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5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11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产业发展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饲草加工与运输项目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村委会以南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bidi="ar"/>
              </w:rPr>
              <w:t>0.5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公顷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冯庄乡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人民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政府</w:t>
            </w:r>
          </w:p>
        </w:tc>
        <w:tc>
          <w:tcPr>
            <w:tcW w:w="138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——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财政收入</w:t>
            </w:r>
          </w:p>
        </w:tc>
        <w:tc>
          <w:tcPr>
            <w:tcW w:w="2052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  <w:t>新建</w:t>
            </w:r>
          </w:p>
        </w:tc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bidi="ar"/>
              </w:rPr>
            </w:pPr>
          </w:p>
        </w:tc>
      </w:tr>
    </w:tbl>
    <w:p>
      <w:pPr>
        <w:pStyle w:val="2"/>
        <w:rPr>
          <w:rFonts w:hint="default" w:ascii="Times New Roman" w:hAnsi="Times New Roman" w:cs="Times New Roman"/>
          <w:sz w:val="32"/>
          <w:szCs w:val="32"/>
          <w:lang w:val="en-US"/>
        </w:rPr>
      </w:pPr>
    </w:p>
    <w:p>
      <w:pPr>
        <w:pStyle w:val="2"/>
        <w:rPr>
          <w:rFonts w:hint="default" w:ascii="Times New Roman" w:hAnsi="Times New Roman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4D7E5FD-2AFC-4C51-AA59-C7FFBD52F2B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00"/>
    <w:family w:val="auto"/>
    <w:pitch w:val="default"/>
    <w:sig w:usb0="00000000" w:usb1="00000000" w:usb2="00000000" w:usb3="00000000" w:csb0="00000000" w:csb1="00000000"/>
    <w:embedRegular r:id="rId2" w:fontKey="{339B79FE-AAD4-4C2C-A6C4-248A7CBC5B19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9415C85-62D7-42BD-BBC4-57504E3D44E1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065423DA-1943-48C3-A72D-395DBCFF3E1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0A931"/>
    <w:multiLevelType w:val="multilevel"/>
    <w:tmpl w:val="C340A93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jQwMzI1MTZjZTY5Mjk5Y2IwMTZkODRlMmVjM2UifQ=="/>
  </w:docVars>
  <w:rsids>
    <w:rsidRoot w:val="000A7531"/>
    <w:rsid w:val="000A7531"/>
    <w:rsid w:val="000F2E5B"/>
    <w:rsid w:val="001A1CA6"/>
    <w:rsid w:val="001E7235"/>
    <w:rsid w:val="002422EC"/>
    <w:rsid w:val="0024511E"/>
    <w:rsid w:val="0031581D"/>
    <w:rsid w:val="00367303"/>
    <w:rsid w:val="004D3C59"/>
    <w:rsid w:val="004E6075"/>
    <w:rsid w:val="004F65BA"/>
    <w:rsid w:val="00510DA1"/>
    <w:rsid w:val="006201FA"/>
    <w:rsid w:val="006475C8"/>
    <w:rsid w:val="00666C7B"/>
    <w:rsid w:val="00726669"/>
    <w:rsid w:val="007A7B1F"/>
    <w:rsid w:val="007F7D84"/>
    <w:rsid w:val="008E614E"/>
    <w:rsid w:val="00A5136F"/>
    <w:rsid w:val="00B36B5D"/>
    <w:rsid w:val="00B461DB"/>
    <w:rsid w:val="00BA0229"/>
    <w:rsid w:val="00BB0A0A"/>
    <w:rsid w:val="00C979FD"/>
    <w:rsid w:val="00CE0196"/>
    <w:rsid w:val="00D96AE8"/>
    <w:rsid w:val="00DB3A26"/>
    <w:rsid w:val="00E2753E"/>
    <w:rsid w:val="00E572AA"/>
    <w:rsid w:val="00F23261"/>
    <w:rsid w:val="00FD3200"/>
    <w:rsid w:val="04E36BA5"/>
    <w:rsid w:val="13241404"/>
    <w:rsid w:val="195D5CC2"/>
    <w:rsid w:val="1FC43B41"/>
    <w:rsid w:val="206509B8"/>
    <w:rsid w:val="23B2608B"/>
    <w:rsid w:val="24687287"/>
    <w:rsid w:val="2F7864DC"/>
    <w:rsid w:val="4B92297F"/>
    <w:rsid w:val="4E676345"/>
    <w:rsid w:val="50721774"/>
    <w:rsid w:val="5D757572"/>
    <w:rsid w:val="61837B15"/>
    <w:rsid w:val="63CA1701"/>
    <w:rsid w:val="68906041"/>
    <w:rsid w:val="6DAB786B"/>
    <w:rsid w:val="705A7660"/>
    <w:rsid w:val="733515DB"/>
    <w:rsid w:val="780A4421"/>
    <w:rsid w:val="795B7FA5"/>
    <w:rsid w:val="7E70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80" w:after="290" w:line="372" w:lineRule="auto"/>
      <w:ind w:left="573" w:hanging="573"/>
      <w:jc w:val="left"/>
      <w:outlineLvl w:val="1"/>
    </w:pPr>
    <w:rPr>
      <w:rFonts w:ascii="Cambria" w:hAnsi="Cambria"/>
      <w:b/>
      <w:bCs/>
      <w:color w:val="00B0F0"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570"/>
    </w:pPr>
  </w:style>
  <w:style w:type="paragraph" w:styleId="5">
    <w:name w:val="Body Text"/>
    <w:basedOn w:val="1"/>
    <w:next w:val="1"/>
    <w:link w:val="13"/>
    <w:qFormat/>
    <w:uiPriority w:val="0"/>
    <w:pPr>
      <w:spacing w:after="120"/>
    </w:pPr>
  </w:style>
  <w:style w:type="paragraph" w:styleId="6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4"/>
    <w:qFormat/>
    <w:uiPriority w:val="0"/>
    <w:rPr>
      <w:rFonts w:ascii="Cambria" w:hAnsi="Cambria" w:eastAsia="宋体" w:cs="Times New Roman"/>
      <w:b/>
      <w:bCs/>
      <w:color w:val="00B0F0"/>
      <w:sz w:val="30"/>
      <w:szCs w:val="32"/>
    </w:rPr>
  </w:style>
  <w:style w:type="character" w:customStyle="1" w:styleId="13">
    <w:name w:val="正文文本 字符"/>
    <w:basedOn w:val="8"/>
    <w:link w:val="5"/>
    <w:qFormat/>
    <w:uiPriority w:val="0"/>
    <w:rPr>
      <w:rFonts w:ascii="Calibri" w:hAnsi="Calibri" w:eastAsia="宋体" w:cs="Times New Roman"/>
      <w:szCs w:val="24"/>
    </w:rPr>
  </w:style>
  <w:style w:type="paragraph" w:customStyle="1" w:styleId="14">
    <w:name w:val="正文彭阳县"/>
    <w:basedOn w:val="1"/>
    <w:qFormat/>
    <w:uiPriority w:val="0"/>
    <w:pPr>
      <w:keepNext/>
      <w:spacing w:line="600" w:lineRule="exact"/>
      <w:ind w:firstLine="643"/>
    </w:pPr>
    <w:rPr>
      <w:rFonts w:eastAsia="仿宋_GB2312"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5103</Words>
  <Characters>5417</Characters>
  <Lines>33</Lines>
  <Paragraphs>9</Paragraphs>
  <TotalTime>5</TotalTime>
  <ScaleCrop>false</ScaleCrop>
  <LinksUpToDate>false</LinksUpToDate>
  <CharactersWithSpaces>5430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彭阳局信息员</cp:lastModifiedBy>
  <dcterms:modified xsi:type="dcterms:W3CDTF">2024-03-13T02:15:01Z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C213DF6D0C514DDB952AF121D0180F46_12</vt:lpwstr>
  </property>
</Properties>
</file>