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彭阳县小岔乡柳湾村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村庄规划（2023-2035年）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《彭阳县小岔乡柳湾村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多规合一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实用性村庄规划（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本次规划范围为彭阳县小岔乡柳湾村的行政辖区内的全域国土空间，村域国土面积为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2347.29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公顷。辖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4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个村民小组，分别为崾岘组、柳湾组、房沟组、中庄组。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本次村庄规划以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年为基期年，规划期限为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年，规划近期至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年，远期至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规划柳湾村为整治改善类。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柳湾村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柳湾村建设成基础设施完善，环境优美，现代化农业与规模养殖业联动发展的美丽宜居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bookmarkStart w:id="0" w:name="_Toc26930"/>
      <w:r>
        <w:rPr>
          <w:rFonts w:ascii="仿宋_GB2312" w:hAnsi="Times New Roman" w:eastAsia="仿宋_GB2312"/>
          <w:b w:val="0"/>
          <w:bCs w:val="0"/>
          <w:sz w:val="32"/>
          <w:szCs w:val="32"/>
        </w:rPr>
        <w:t>3、国土空间</w:t>
      </w:r>
      <w:bookmarkEnd w:id="0"/>
      <w:r>
        <w:rPr>
          <w:rFonts w:ascii="仿宋_GB2312" w:hAnsi="Times New Roman" w:eastAsia="仿宋_GB2312"/>
          <w:b w:val="0"/>
          <w:bCs w:val="0"/>
          <w:sz w:val="32"/>
          <w:szCs w:val="32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根据彭阳县生态保护红线划定成果，本次规划的柳湾村划定生态保护红线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1437.75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本次规划的柳湾村划定永久基本农田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277.40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规划城乡建设用地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11.31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公顷，均为村庄建设用地；区域基础设施建设用地为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5.57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公顷；其他建设用地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0.11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结合柳湾村产业特点和村民需求，合理安排村域各类产业用地，以提高效率、保障安全生产、便于治理污染和卫生防疫为目标，因地制宜的合理利用好村内的优质的自然资源和农业资源。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依托柳湾村的自然资源、农业资源，结合村庄产业发展趋势和村民生产需求，合理安排产业布局，在空间上形成有机联系、互为补充的多个产业板块。打造：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一心引领、三片协同，多点保护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的产业空间布局。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一心：以村委会为中心的综合服务中心和民生服务中心。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三片：以特色种植、规模化种植区、高效节水农业为片区。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多点：结合村域生态保护红线较分散的情况，用多点、多样的保护，</w:t>
      </w:r>
      <w:bookmarkStart w:id="1" w:name="_GoBack"/>
      <w:bookmarkEnd w:id="1"/>
      <w:r>
        <w:rPr>
          <w:rFonts w:ascii="Times New Roman" w:hAnsi="仿宋_GB2312" w:eastAsia="仿宋_GB2312"/>
          <w:b w:val="0"/>
          <w:bCs w:val="0"/>
          <w:sz w:val="32"/>
          <w:szCs w:val="32"/>
        </w:rPr>
        <w:t>让保护生态成为新型产业。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6、用途管制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根据《宁夏回族自治区土地管理条例》（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年修订版）要求，新建住宅的宅基地面积（包括附属用房、庭院用地）使用水浇地的，每户不得超过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270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；使用平川旱作耕地的，每户不得超过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400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；使用山坡地的，每户不得超过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540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在路边新建农房时，距县道不少于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米，距乡道不少于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米，距村主要道路不少于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米；沿山体周边建设时，不得新增削坡建房，距山体护坡沿不少于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6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米；沿河溪建房时，距河溪边沿不少于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产业发展：经营性建设用地建筑密度需控制在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70%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以下，建筑高度不超过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18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米（若该经营性建设用地靠近文保单位，则限高需按文物保护相关控制要求进行调整），容积率不超过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2.0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基础设施和公共服务设施：不得占用交通用地建房，在村内主要道路两侧建房应后退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xMjQwMzI1MTZjZTY5Mjk5Y2IwMTZkODRlMmVjM2UifQ=="/>
  </w:docVars>
  <w:rsids>
    <w:rsidRoot w:val="030F48BA"/>
    <w:rsid w:val="00153343"/>
    <w:rsid w:val="001E2ADF"/>
    <w:rsid w:val="002047E8"/>
    <w:rsid w:val="00220720"/>
    <w:rsid w:val="00225755"/>
    <w:rsid w:val="00227EEF"/>
    <w:rsid w:val="00234152"/>
    <w:rsid w:val="003624C6"/>
    <w:rsid w:val="003D7EE3"/>
    <w:rsid w:val="004070A1"/>
    <w:rsid w:val="00440800"/>
    <w:rsid w:val="0049382A"/>
    <w:rsid w:val="004F509A"/>
    <w:rsid w:val="0054089E"/>
    <w:rsid w:val="005539A9"/>
    <w:rsid w:val="005C43B0"/>
    <w:rsid w:val="005F06D9"/>
    <w:rsid w:val="006D464D"/>
    <w:rsid w:val="0077665D"/>
    <w:rsid w:val="007F0F06"/>
    <w:rsid w:val="007F63DB"/>
    <w:rsid w:val="008456BF"/>
    <w:rsid w:val="00877224"/>
    <w:rsid w:val="00984707"/>
    <w:rsid w:val="00A15A23"/>
    <w:rsid w:val="00A3157F"/>
    <w:rsid w:val="00AB6C82"/>
    <w:rsid w:val="00AC2C79"/>
    <w:rsid w:val="00B56FFB"/>
    <w:rsid w:val="00C20600"/>
    <w:rsid w:val="00C51136"/>
    <w:rsid w:val="00C65383"/>
    <w:rsid w:val="00CC2164"/>
    <w:rsid w:val="00D26C8E"/>
    <w:rsid w:val="00D7106A"/>
    <w:rsid w:val="00D73119"/>
    <w:rsid w:val="00E1078B"/>
    <w:rsid w:val="00E13C3B"/>
    <w:rsid w:val="00F04747"/>
    <w:rsid w:val="00F44717"/>
    <w:rsid w:val="00F53CEA"/>
    <w:rsid w:val="015F4822"/>
    <w:rsid w:val="0220586E"/>
    <w:rsid w:val="030F48BA"/>
    <w:rsid w:val="11F25176"/>
    <w:rsid w:val="163B0AEA"/>
    <w:rsid w:val="27D53962"/>
    <w:rsid w:val="2F194CF3"/>
    <w:rsid w:val="38FD08FD"/>
    <w:rsid w:val="3BAB2D63"/>
    <w:rsid w:val="3BD16BBF"/>
    <w:rsid w:val="3E263682"/>
    <w:rsid w:val="3F244204"/>
    <w:rsid w:val="45D104A5"/>
    <w:rsid w:val="46F12261"/>
    <w:rsid w:val="49193DBE"/>
    <w:rsid w:val="50D9724D"/>
    <w:rsid w:val="580C5452"/>
    <w:rsid w:val="5D163392"/>
    <w:rsid w:val="5F532459"/>
    <w:rsid w:val="6515111C"/>
    <w:rsid w:val="66C562F8"/>
    <w:rsid w:val="689C3844"/>
    <w:rsid w:val="6AE93DF6"/>
    <w:rsid w:val="6F2C471C"/>
    <w:rsid w:val="73092C77"/>
    <w:rsid w:val="74940C50"/>
    <w:rsid w:val="75AB44BA"/>
    <w:rsid w:val="78C623FF"/>
    <w:rsid w:val="78E36255"/>
    <w:rsid w:val="79231D4F"/>
    <w:rsid w:val="7B007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Lines="50" w:line="360" w:lineRule="auto"/>
      <w:ind w:firstLine="0"/>
      <w:outlineLvl w:val="0"/>
    </w:pPr>
    <w:rPr>
      <w:rFonts w:ascii="宋体" w:hAnsi="宋体" w:cs="宋体"/>
      <w:b/>
      <w:color w:val="000000" w:themeColor="text1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Lines="50" w:line="360" w:lineRule="auto"/>
      <w:ind w:left="0" w:firstLine="0" w:firstLineChars="200"/>
      <w:outlineLvl w:val="1"/>
    </w:pPr>
    <w:rPr>
      <w:rFonts w:ascii="宋体" w:hAnsi="宋体" w:cs="宋体"/>
      <w:b/>
      <w:bCs/>
      <w:color w:val="000000" w:themeColor="text1"/>
      <w:sz w:val="24"/>
      <w:szCs w:val="32"/>
    </w:rPr>
  </w:style>
  <w:style w:type="paragraph" w:styleId="4">
    <w:name w:val="heading 3"/>
    <w:basedOn w:val="3"/>
    <w:next w:val="1"/>
    <w:link w:val="16"/>
    <w:semiHidden/>
    <w:unhideWhenUsed/>
    <w:qFormat/>
    <w:uiPriority w:val="0"/>
    <w:pPr>
      <w:numPr>
        <w:ilvl w:val="0"/>
        <w:numId w:val="3"/>
      </w:numPr>
      <w:tabs>
        <w:tab w:val="left" w:pos="0"/>
        <w:tab w:val="clear" w:pos="420"/>
      </w:tabs>
      <w:ind w:left="0" w:firstLine="48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line="360" w:lineRule="auto"/>
      <w:ind w:firstLine="480" w:firstLineChars="200"/>
      <w:outlineLvl w:val="3"/>
    </w:pPr>
    <w:rPr>
      <w:rFonts w:ascii="宋体" w:hAnsi="宋体"/>
      <w:color w:val="000000" w:themeColor="text1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20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1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</w:rPr>
  </w:style>
  <w:style w:type="character" w:customStyle="1" w:styleId="17">
    <w:name w:val="页眉 Char"/>
    <w:basedOn w:val="14"/>
    <w:link w:val="1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4"/>
    <w:link w:val="1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正文文本 Char"/>
    <w:basedOn w:val="14"/>
    <w:link w:val="11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正文文本 Char1"/>
    <w:link w:val="11"/>
    <w:qFormat/>
    <w:uiPriority w:val="0"/>
    <w:rPr>
      <w:rFonts w:ascii="宋体" w:hAnsi="宋体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1823</Characters>
  <Lines>15</Lines>
  <Paragraphs>4</Paragraphs>
  <TotalTime>152</TotalTime>
  <ScaleCrop>false</ScaleCrop>
  <LinksUpToDate>false</LinksUpToDate>
  <CharactersWithSpaces>2138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2023-11-12T10:17:18Z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751862450B0047288B1840B1F40351E5_13</vt:lpwstr>
  </property>
</Properties>
</file>