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彭阳县小岔乡吊岔村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  <w:t>村庄规划（2023-2035年）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《彭阳县小岔乡吊岔村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多规合一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实用性村庄规划（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2023-2035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二、规划范围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本次规划范围为彭阳县小岔乡吊岔村的行政辖区内的全域国土空间，村域国土面积为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2486.54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三、规划期限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本次村庄规划以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2022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年为基期年，规划期限为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2023-2035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年，规划近期至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年，远期至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2035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z w:val="32"/>
          <w:szCs w:val="32"/>
        </w:rPr>
        <w:t>四、规划方案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规划吊岔村为特色保护类。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2、规划定位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结合吊岔村现状自然条件、区位条件、产业基础、区域产业布局及政策体系配套，以自然资源保护为前提，以农业科技为支撑，以土地综合整治、产业转型升级、人居环境整治、完善村社组织架构为抓手，在切实落实耕地保护和节约集约用地的前提下，依托优越的区位环境和良好的优势资源，将吊岔村建设成基础设施完善，环境优美，现代化农业与规模养殖业联动发展的美丽宜居新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bookmarkStart w:id="0" w:name="_Toc26930"/>
      <w:r>
        <w:rPr>
          <w:rFonts w:ascii="仿宋_GB2312" w:hAnsi="Times New Roman" w:eastAsia="仿宋_GB2312"/>
          <w:b w:val="0"/>
          <w:bCs w:val="0"/>
          <w:sz w:val="32"/>
          <w:szCs w:val="32"/>
        </w:rPr>
        <w:t>3、国土空间</w:t>
      </w:r>
      <w:bookmarkEnd w:id="0"/>
      <w:r>
        <w:rPr>
          <w:rFonts w:ascii="仿宋_GB2312" w:hAnsi="Times New Roman" w:eastAsia="仿宋_GB2312"/>
          <w:b w:val="0"/>
          <w:bCs w:val="0"/>
          <w:sz w:val="32"/>
          <w:szCs w:val="32"/>
        </w:rPr>
        <w:t>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（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</w:rPr>
        <w:t>1</w:t>
      </w:r>
      <w:r>
        <w:rPr>
          <w:rFonts w:hint="eastAsia" w:ascii="仿宋_GB2312" w:hAnsi="仿宋_GB2312" w:eastAsia="仿宋_GB2312"/>
          <w:b w:val="0"/>
          <w:bCs w:val="0"/>
          <w:sz w:val="32"/>
          <w:szCs w:val="32"/>
        </w:rPr>
        <w:t>）生态保护红线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根据彭阳县生态保护红线划定成果，本次规划的吊岔村划定生态保护红线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1470.65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（2）永久基本农田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本次规划的吊岔村划定永久基本农田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394.04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4、国土空间用地布局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规划城乡建设用地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28.61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公顷，均为村庄建设用地；区域基础设施建设用地为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24.14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公顷；其他建设用地</w:t>
      </w:r>
      <w:r>
        <w:rPr>
          <w:rFonts w:hint="eastAsia" w:ascii="Times New Roman" w:hAnsi="Times New Roman" w:eastAsia="仿宋_GB2312"/>
          <w:b w:val="0"/>
          <w:bCs w:val="0"/>
          <w:sz w:val="32"/>
          <w:szCs w:val="32"/>
        </w:rPr>
        <w:t>0.16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5、产业发展规划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结合吊岔村产业特点和村民需求，合理安排村域各类产业用地，以提高效率、保障安全生产、便于治理污染和卫生防疫为目标，因地制宜的合理利用好村内的优质的自然资源和农业资源。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依托吊岔村的自然资源、农业资源，结合村庄产业发展趋势和村民生产需求，合理安排产业布局，在空间上形成有机联系、互为补充的多个产业板块。打造：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“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一心引领、三片协同，多点保护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”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的产业空间布局。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一心：以村委会为中心的综合服务中心和民生服务中心。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三片：以特色种植、规模化种植区、高效节水农业为片区。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多点：结合村域生态保护红线较分散的情况，用多点、多样的保护，</w:t>
      </w:r>
      <w:bookmarkStart w:id="1" w:name="_GoBack"/>
      <w:bookmarkEnd w:id="1"/>
      <w:r>
        <w:rPr>
          <w:rFonts w:ascii="Times New Roman" w:hAnsi="仿宋_GB2312" w:eastAsia="仿宋_GB2312"/>
          <w:b w:val="0"/>
          <w:bCs w:val="0"/>
          <w:sz w:val="32"/>
          <w:szCs w:val="32"/>
        </w:rPr>
        <w:t>让保护生态成为新型产业。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Times New Roman" w:eastAsia="仿宋_GB2312"/>
          <w:b w:val="0"/>
          <w:bCs w:val="0"/>
          <w:sz w:val="32"/>
          <w:szCs w:val="32"/>
        </w:rPr>
        <w:t>6、用途管制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（1）耕地与永久基本农田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任何单位和个人不得擅自占用或改变用途。村民不得随意占用耕地，确需占用的，应经村民小组确认，村委会审查同意出具书面意见后，由镇政府按程序办理相关报批手续。未经批准，不得在园地、林地及其他农用地进行非农建设活动，不得进行毁林开垦、采石、挖沙、采矿、取土等活动。本村内划定的设施农用地应按规定要求兴建设施和使用土地，不得擅自或变相将设施农用地用于其他非农建设，并采取措施防止对土壤耕作层破坏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（2）生态保护管控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禁止在红线范围内从事不符合国家规定的活动。严格保护村内林地、湿地、陆地水域、其他自然保留地等生态用地，不得进行破坏生态景观、污染环境的开发建设活动，做到慎砍树、禁挖山、不填湖。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_GB2312" w:hAnsi="仿宋_GB2312" w:eastAsia="仿宋_GB2312"/>
          <w:b w:val="0"/>
          <w:bCs w:val="0"/>
          <w:sz w:val="32"/>
          <w:szCs w:val="32"/>
        </w:rPr>
      </w:pPr>
      <w:r>
        <w:rPr>
          <w:rFonts w:ascii="仿宋_GB2312" w:hAnsi="仿宋_GB2312" w:eastAsia="仿宋_GB2312"/>
          <w:b w:val="0"/>
          <w:bCs w:val="0"/>
          <w:sz w:val="32"/>
          <w:szCs w:val="32"/>
        </w:rPr>
        <w:t>（3）建设空间管制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现状村内零星的建设用地建议通过土地整理、宅基地置换等方式逐渐向村庄建设边界内集中。规划村庄建设用地应按照以下规则进行村庄建设用地空间管制。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农村住宅：规划新申请的宅基地，应在划定的宅基地范围内，优先利用村内空闲地、闲置宅基地和未利用地。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根据《宁夏回族自治区土地管理条例》（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2022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年修订版）要求，新建住宅的宅基地面积（包括附属用房、庭院用地）使用水浇地的，每户不得超过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270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；使用平川旱作耕地的，每户不得超过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400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；使用山坡地的，每户不得超过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540</w:t>
      </w:r>
      <w:r>
        <w:rPr>
          <w:rFonts w:hint="eastAsia" w:ascii="宋体" w:hAnsi="宋体" w:cs="宋体"/>
          <w:b w:val="0"/>
          <w:bCs w:val="0"/>
          <w:sz w:val="32"/>
          <w:szCs w:val="32"/>
        </w:rPr>
        <w:t>㎡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。住房应体现地方特色，符合村庄整体景观风貌控制性要求。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在路边新建农房时，距县道不少于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10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米，距乡道不少于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米，距村主要道路不少于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米；沿山体周边建设时，不得新增削坡建房，距山体护坡沿不少于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6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米；沿河溪建房时，距河溪边沿不少于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15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米。因道路退缩造成原有宅基地无法建房的，由镇、村另行规划村民集中建房用地，确保新农村建设健康有序发展。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产业发展：经营性建设用地建筑密度需控制在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70%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以下，建筑高度不超过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18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米（若该经营性建设用地靠近文保单位，则限高需按文物保护相关控制要求进行调整），容积率不超过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2.0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经营性建设用地调整应经村民小组确认，由村委会审查同意，逐级报村庄规划原审批机关批准。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基础设施和公共服务设施：不得占用交通用地建房，在村内主要道路两侧建房应后退</w:t>
      </w:r>
      <w:r>
        <w:rPr>
          <w:rFonts w:ascii="Times New Roman" w:hAnsi="Times New Roman" w:eastAsia="仿宋_GB2312"/>
          <w:b w:val="0"/>
          <w:bCs w:val="0"/>
          <w:sz w:val="32"/>
          <w:szCs w:val="32"/>
        </w:rPr>
        <w:t>3</w:t>
      </w:r>
      <w:r>
        <w:rPr>
          <w:rFonts w:ascii="Times New Roman" w:hAnsi="仿宋_GB2312" w:eastAsia="仿宋_GB2312"/>
          <w:b w:val="0"/>
          <w:bCs w:val="0"/>
          <w:sz w:val="32"/>
          <w:szCs w:val="32"/>
        </w:rPr>
        <w:t>米。村内供水、污水处理设施以及房屋排水接口需经村委会确认后再进行建设。村民不得随意占用垃圾收集点、公厕、污水处理设施等基础设施用地及综合服务站、基层综合性文化服务中心、卫生室、养老和教育等公共服务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Times New Roman" w:hAnsi="Times New Roman"/>
          <w:b w:val="0"/>
          <w:bCs w:val="0"/>
          <w:sz w:val="32"/>
          <w:szCs w:val="32"/>
        </w:rPr>
      </w:pPr>
      <w:r>
        <w:rPr>
          <w:rFonts w:ascii="Times New Roman" w:hAnsi="仿宋_GB2312" w:eastAsia="仿宋_GB2312"/>
          <w:b w:val="0"/>
          <w:bCs w:val="0"/>
          <w:sz w:val="32"/>
          <w:szCs w:val="32"/>
        </w:rPr>
        <w:t>弹性管控：对规划期内确定使用，但暂时无法明确具体规划用途的建设用地，采取留白方式处理，暂不确定具体规划用地性质，为未来的布局优化、项目落地预留空间。后续使用留白用地，应符合国家和自治区相关规定要求。暂时无法明确具体地块及规模边界的项目，在用地规划图中采用点位预制的方法，表达项目的类别和意向性位置，并纳入项目清单管理，后续可根据项目建设需要再确定具体边界、规模和相应的规划管控要求。在不突破规划建设用地规模、不占用永久基本农田和生态保护红线的前提下，村庄规划中预留一定比例的建设用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6C886"/>
    <w:multiLevelType w:val="singleLevel"/>
    <w:tmpl w:val="A146C886"/>
    <w:lvl w:ilvl="0" w:tentative="0">
      <w:start w:val="1"/>
      <w:numFmt w:val="decimal"/>
      <w:pStyle w:val="4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438E90E"/>
    <w:multiLevelType w:val="multilevel"/>
    <w:tmpl w:val="E438E9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23EF4573"/>
    <w:multiLevelType w:val="multilevel"/>
    <w:tmpl w:val="23EF45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hanging="425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3"/>
      <w:lvlText w:val="(%1)"/>
      <w:lvlJc w:val="left"/>
      <w:pPr>
        <w:tabs>
          <w:tab w:val="left" w:pos="840"/>
        </w:tabs>
        <w:ind w:left="840" w:hanging="42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hanging="420"/>
      </w:pPr>
      <w:rPr>
        <w:rFonts w:hint="default" w:ascii="宋体" w:hAnsi="宋体" w:eastAsia="宋体" w:cs="宋体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hanging="42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 w:ascii="宋体" w:hAnsi="宋体" w:eastAsia="宋体" w:cs="宋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hanging="42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hanging="420"/>
      </w:pPr>
      <w:rPr>
        <w:rFonts w:hint="default" w:ascii="宋体" w:hAnsi="宋体" w:eastAsia="宋体" w:cs="宋体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hanging="420"/>
      </w:pPr>
      <w:rPr>
        <w:rFonts w:hint="default" w:ascii="宋体" w:hAnsi="宋体" w:eastAsia="宋体" w:cs="宋体"/>
      </w:rPr>
    </w:lvl>
  </w:abstractNum>
  <w:abstractNum w:abstractNumId="3">
    <w:nsid w:val="28DFF3E3"/>
    <w:multiLevelType w:val="singleLevel"/>
    <w:tmpl w:val="28DFF3E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58654B64"/>
    <w:multiLevelType w:val="singleLevel"/>
    <w:tmpl w:val="58654B64"/>
    <w:lvl w:ilvl="0" w:tentative="0">
      <w:start w:val="1"/>
      <w:numFmt w:val="decimal"/>
      <w:pStyle w:val="5"/>
      <w:lvlText w:val="(%1)"/>
      <w:lvlJc w:val="left"/>
      <w:pPr>
        <w:tabs>
          <w:tab w:val="left" w:pos="0"/>
        </w:tabs>
        <w:ind w:left="0" w:firstLine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kxMjQwMzI1MTZjZTY5Mjk5Y2IwMTZkODRlMmVjM2UifQ=="/>
  </w:docVars>
  <w:rsids>
    <w:rsidRoot w:val="030F48BA"/>
    <w:rsid w:val="0007602E"/>
    <w:rsid w:val="00147A99"/>
    <w:rsid w:val="001A4B5A"/>
    <w:rsid w:val="001E2ADF"/>
    <w:rsid w:val="00234152"/>
    <w:rsid w:val="002565AB"/>
    <w:rsid w:val="002660E1"/>
    <w:rsid w:val="00290171"/>
    <w:rsid w:val="002F3667"/>
    <w:rsid w:val="003073A7"/>
    <w:rsid w:val="0049382A"/>
    <w:rsid w:val="004D0EC2"/>
    <w:rsid w:val="004F509A"/>
    <w:rsid w:val="0051287C"/>
    <w:rsid w:val="00525B00"/>
    <w:rsid w:val="005B32B6"/>
    <w:rsid w:val="005F06D9"/>
    <w:rsid w:val="006769CD"/>
    <w:rsid w:val="0077665D"/>
    <w:rsid w:val="007F0F06"/>
    <w:rsid w:val="007F3D03"/>
    <w:rsid w:val="007F63DB"/>
    <w:rsid w:val="0080704D"/>
    <w:rsid w:val="008133CF"/>
    <w:rsid w:val="008200D9"/>
    <w:rsid w:val="00825C23"/>
    <w:rsid w:val="00984707"/>
    <w:rsid w:val="00A15A23"/>
    <w:rsid w:val="00A3157F"/>
    <w:rsid w:val="00A367FB"/>
    <w:rsid w:val="00AA3441"/>
    <w:rsid w:val="00AB6C82"/>
    <w:rsid w:val="00AC2C79"/>
    <w:rsid w:val="00C270FA"/>
    <w:rsid w:val="00C51136"/>
    <w:rsid w:val="00C57422"/>
    <w:rsid w:val="00CC45DA"/>
    <w:rsid w:val="00CF7DE9"/>
    <w:rsid w:val="00D12A26"/>
    <w:rsid w:val="00D46CEB"/>
    <w:rsid w:val="00D73119"/>
    <w:rsid w:val="00D74CB4"/>
    <w:rsid w:val="00DE4D42"/>
    <w:rsid w:val="00E13D28"/>
    <w:rsid w:val="00E676D7"/>
    <w:rsid w:val="00F04747"/>
    <w:rsid w:val="00F06144"/>
    <w:rsid w:val="00F45F35"/>
    <w:rsid w:val="00F53CEA"/>
    <w:rsid w:val="00FF06EE"/>
    <w:rsid w:val="0220586E"/>
    <w:rsid w:val="030F48BA"/>
    <w:rsid w:val="11F25176"/>
    <w:rsid w:val="163B0AEA"/>
    <w:rsid w:val="27D53962"/>
    <w:rsid w:val="2F194CF3"/>
    <w:rsid w:val="32EE6702"/>
    <w:rsid w:val="3641689F"/>
    <w:rsid w:val="38FD08FD"/>
    <w:rsid w:val="3BAB2D63"/>
    <w:rsid w:val="3BD16BBF"/>
    <w:rsid w:val="3E263682"/>
    <w:rsid w:val="3F244204"/>
    <w:rsid w:val="46F12261"/>
    <w:rsid w:val="49193DBE"/>
    <w:rsid w:val="50D9724D"/>
    <w:rsid w:val="580C5452"/>
    <w:rsid w:val="5C4241AB"/>
    <w:rsid w:val="5D163392"/>
    <w:rsid w:val="5F532459"/>
    <w:rsid w:val="6515111C"/>
    <w:rsid w:val="66C562F8"/>
    <w:rsid w:val="689C3844"/>
    <w:rsid w:val="6AE93DF6"/>
    <w:rsid w:val="6F2C471C"/>
    <w:rsid w:val="7011201A"/>
    <w:rsid w:val="73092C77"/>
    <w:rsid w:val="73DA38A9"/>
    <w:rsid w:val="74940C50"/>
    <w:rsid w:val="75AB44BA"/>
    <w:rsid w:val="78C623FF"/>
    <w:rsid w:val="78E36255"/>
    <w:rsid w:val="79231D4F"/>
    <w:rsid w:val="7B0070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Lines="50" w:line="360" w:lineRule="auto"/>
      <w:ind w:firstLine="0"/>
      <w:outlineLvl w:val="0"/>
    </w:pPr>
    <w:rPr>
      <w:rFonts w:ascii="宋体" w:hAnsi="宋体" w:cs="宋体"/>
      <w:b/>
      <w:color w:val="000000" w:themeColor="text1"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adjustRightInd w:val="0"/>
      <w:spacing w:beforeLines="50" w:line="360" w:lineRule="auto"/>
      <w:ind w:left="0" w:firstLine="0" w:firstLineChars="200"/>
      <w:outlineLvl w:val="1"/>
    </w:pPr>
    <w:rPr>
      <w:rFonts w:ascii="宋体" w:hAnsi="宋体" w:cs="宋体"/>
      <w:b/>
      <w:bCs/>
      <w:color w:val="000000" w:themeColor="text1"/>
      <w:sz w:val="24"/>
      <w:szCs w:val="32"/>
    </w:rPr>
  </w:style>
  <w:style w:type="paragraph" w:styleId="4">
    <w:name w:val="heading 3"/>
    <w:basedOn w:val="3"/>
    <w:next w:val="1"/>
    <w:link w:val="16"/>
    <w:semiHidden/>
    <w:unhideWhenUsed/>
    <w:qFormat/>
    <w:uiPriority w:val="0"/>
    <w:pPr>
      <w:numPr>
        <w:ilvl w:val="0"/>
        <w:numId w:val="3"/>
      </w:numPr>
      <w:tabs>
        <w:tab w:val="left" w:pos="0"/>
        <w:tab w:val="clear" w:pos="420"/>
      </w:tabs>
      <w:ind w:left="0" w:firstLine="48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line="360" w:lineRule="auto"/>
      <w:ind w:firstLine="480" w:firstLineChars="200"/>
      <w:outlineLvl w:val="3"/>
    </w:pPr>
    <w:rPr>
      <w:rFonts w:ascii="宋体" w:hAnsi="宋体"/>
      <w:color w:val="000000" w:themeColor="text1"/>
      <w:sz w:val="24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line="317" w:lineRule="auto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line="317" w:lineRule="auto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line="317" w:lineRule="auto"/>
      <w:outlineLvl w:val="8"/>
    </w:pPr>
    <w:rPr>
      <w:rFonts w:ascii="Arial" w:hAnsi="Arial" w:eastAsia="黑体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next w:val="1"/>
    <w:link w:val="20"/>
    <w:qFormat/>
    <w:uiPriority w:val="0"/>
    <w:pPr>
      <w:spacing w:line="360" w:lineRule="auto"/>
    </w:pPr>
    <w:rPr>
      <w:rFonts w:ascii="宋体" w:hAnsi="宋体"/>
      <w:sz w:val="28"/>
    </w:rPr>
  </w:style>
  <w:style w:type="paragraph" w:styleId="1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标题 3 Char"/>
    <w:link w:val="4"/>
    <w:qFormat/>
    <w:uiPriority w:val="0"/>
    <w:rPr>
      <w:rFonts w:ascii="宋体" w:hAnsi="宋体" w:eastAsia="宋体"/>
      <w:b/>
      <w:color w:val="000000" w:themeColor="text1"/>
      <w:sz w:val="24"/>
    </w:rPr>
  </w:style>
  <w:style w:type="character" w:customStyle="1" w:styleId="17">
    <w:name w:val="页眉 Char"/>
    <w:basedOn w:val="14"/>
    <w:link w:val="1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8">
    <w:name w:val="页脚 Char"/>
    <w:basedOn w:val="14"/>
    <w:link w:val="1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9">
    <w:name w:val="正文文本 Char"/>
    <w:basedOn w:val="14"/>
    <w:link w:val="11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0">
    <w:name w:val="正文文本 Char1"/>
    <w:link w:val="11"/>
    <w:qFormat/>
    <w:uiPriority w:val="0"/>
    <w:rPr>
      <w:rFonts w:ascii="宋体" w:hAnsi="宋体" w:eastAsia="宋体" w:cs="Times New Roman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315</Words>
  <Characters>1800</Characters>
  <Lines>15</Lines>
  <Paragraphs>4</Paragraphs>
  <TotalTime>153</TotalTime>
  <ScaleCrop>false</ScaleCrop>
  <LinksUpToDate>false</LinksUpToDate>
  <CharactersWithSpaces>2111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2023-10-08T08:47:00Z</dcterms:created>
  <dc:creator> 猫</dc:creator>
  <cp:lastModifiedBy>彭阳局信息员</cp:lastModifiedBy>
  <dcterms:modified xsi:type="dcterms:W3CDTF">2023-11-12T10:16:14Z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751862450B0047288B1840B1F40351E5_13</vt:lpwstr>
  </property>
</Properties>
</file>