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color w:val="000000"/>
          <w:sz w:val="44"/>
          <w:szCs w:val="44"/>
          <w:lang w:val="en-US" w:eastAsia="zh-CN"/>
        </w:rPr>
      </w:pPr>
      <w:r>
        <w:rPr>
          <w:rFonts w:hint="eastAsia" w:ascii="方正小标宋简体" w:hAnsi="方正小标宋简体" w:eastAsia="方正小标宋简体" w:cs="方正小标宋简体"/>
          <w:b w:val="0"/>
          <w:color w:val="000000"/>
          <w:sz w:val="44"/>
          <w:szCs w:val="44"/>
        </w:rPr>
        <w:t>彭阳县</w:t>
      </w:r>
      <w:r>
        <w:rPr>
          <w:rFonts w:hint="eastAsia" w:ascii="方正小标宋简体" w:hAnsi="方正小标宋简体" w:eastAsia="方正小标宋简体" w:cs="方正小标宋简体"/>
          <w:b w:val="0"/>
          <w:color w:val="000000"/>
          <w:sz w:val="44"/>
          <w:szCs w:val="44"/>
          <w:lang w:val="en-US" w:eastAsia="zh-CN"/>
        </w:rPr>
        <w:t>红河镇黑牛沟村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color w:val="000000"/>
          <w:sz w:val="44"/>
          <w:szCs w:val="44"/>
        </w:rPr>
      </w:pPr>
      <w:r>
        <w:rPr>
          <w:rFonts w:hint="eastAsia" w:ascii="方正小标宋简体" w:hAnsi="方正小标宋简体" w:eastAsia="方正小标宋简体" w:cs="方正小标宋简体"/>
          <w:b w:val="0"/>
          <w:color w:val="000000"/>
          <w:sz w:val="44"/>
          <w:szCs w:val="44"/>
        </w:rPr>
        <w:t>村庄规划（202</w:t>
      </w:r>
      <w:r>
        <w:rPr>
          <w:rFonts w:hint="eastAsia" w:ascii="方正小标宋简体" w:hAnsi="方正小标宋简体" w:eastAsia="方正小标宋简体" w:cs="方正小标宋简体"/>
          <w:b w:val="0"/>
          <w:color w:val="000000"/>
          <w:sz w:val="44"/>
          <w:szCs w:val="44"/>
          <w:lang w:val="en-US" w:eastAsia="zh-CN"/>
        </w:rPr>
        <w:t>3</w:t>
      </w:r>
      <w:r>
        <w:rPr>
          <w:rFonts w:hint="eastAsia" w:ascii="方正小标宋简体" w:hAnsi="方正小标宋简体" w:eastAsia="方正小标宋简体" w:cs="方正小标宋简体"/>
          <w:b w:val="0"/>
          <w:color w:val="000000"/>
          <w:sz w:val="44"/>
          <w:szCs w:val="44"/>
        </w:rPr>
        <w:t>-2035年）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《彭阳县红河镇黑牛沟村“多规合一”实用性村庄规划（</w:t>
      </w:r>
      <w:r>
        <w:rPr>
          <w:rFonts w:hint="eastAsia" w:ascii="Times New Roman" w:hAnsi="Times New Roman" w:eastAsia="仿宋_GB2312" w:cs="Times New Roman"/>
          <w:b w:val="0"/>
          <w:bCs w:val="0"/>
          <w:sz w:val="32"/>
          <w:szCs w:val="32"/>
          <w:lang w:val="en-US" w:eastAsia="zh-CN"/>
        </w:rPr>
        <w:t>2023-2035</w:t>
      </w:r>
      <w:r>
        <w:rPr>
          <w:rFonts w:hint="eastAsia" w:ascii="仿宋_GB2312" w:hAnsi="仿宋_GB2312" w:eastAsia="仿宋_GB2312" w:cs="仿宋_GB2312"/>
          <w:b w:val="0"/>
          <w:bCs w:val="0"/>
          <w:color w:val="auto"/>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二、规划范围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本次规划范围为彭阳县红河镇黑牛沟村的行政辖区内的全域国土空间，村域国土面积为</w:t>
      </w:r>
      <w:r>
        <w:rPr>
          <w:rFonts w:hint="eastAsia" w:ascii="Times New Roman" w:hAnsi="Times New Roman" w:eastAsia="仿宋_GB2312" w:cs="Times New Roman"/>
          <w:b w:val="0"/>
          <w:bCs w:val="0"/>
          <w:sz w:val="32"/>
          <w:szCs w:val="32"/>
          <w:lang w:val="en-US" w:eastAsia="zh-CN"/>
        </w:rPr>
        <w:t>985.08</w:t>
      </w:r>
      <w:r>
        <w:rPr>
          <w:rFonts w:hint="eastAsia" w:ascii="仿宋_GB2312" w:hAnsi="仿宋_GB2312" w:eastAsia="仿宋_GB2312" w:cs="仿宋_GB2312"/>
          <w:b w:val="0"/>
          <w:bCs w:val="0"/>
          <w:color w:val="auto"/>
          <w:sz w:val="32"/>
          <w:szCs w:val="32"/>
          <w:lang w:val="en-US" w:eastAsia="zh-CN"/>
        </w:rPr>
        <w:t>公顷，辖</w:t>
      </w:r>
      <w:r>
        <w:rPr>
          <w:rFonts w:hint="eastAsia" w:ascii="Times New Roman" w:hAnsi="Times New Roman" w:eastAsia="仿宋_GB2312" w:cs="Times New Roman"/>
          <w:b w:val="0"/>
          <w:bCs w:val="0"/>
          <w:sz w:val="32"/>
          <w:szCs w:val="32"/>
          <w:lang w:val="en-US" w:eastAsia="zh-CN"/>
        </w:rPr>
        <w:t>6</w:t>
      </w:r>
      <w:r>
        <w:rPr>
          <w:rFonts w:hint="eastAsia" w:ascii="仿宋_GB2312" w:hAnsi="仿宋_GB2312" w:eastAsia="仿宋_GB2312" w:cs="仿宋_GB2312"/>
          <w:b w:val="0"/>
          <w:bCs w:val="0"/>
          <w:color w:val="auto"/>
          <w:sz w:val="32"/>
          <w:szCs w:val="32"/>
          <w:lang w:val="en-US" w:eastAsia="zh-CN"/>
        </w:rPr>
        <w:t>个村民小组，分别为庙湾、哈湾、木瓜洼、黑牛湾、黑牛沟、文山。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三、规划期限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本次村庄规划以</w:t>
      </w:r>
      <w:r>
        <w:rPr>
          <w:rFonts w:hint="eastAsia" w:ascii="Times New Roman" w:hAnsi="Times New Roman" w:eastAsia="仿宋_GB2312" w:cs="Times New Roman"/>
          <w:b w:val="0"/>
          <w:bCs w:val="0"/>
          <w:sz w:val="32"/>
          <w:szCs w:val="32"/>
          <w:lang w:val="en-US" w:eastAsia="zh-CN"/>
        </w:rPr>
        <w:t>2022</w:t>
      </w:r>
      <w:r>
        <w:rPr>
          <w:rFonts w:hint="eastAsia" w:ascii="仿宋_GB2312" w:hAnsi="仿宋_GB2312" w:eastAsia="仿宋_GB2312" w:cs="仿宋_GB2312"/>
          <w:b w:val="0"/>
          <w:bCs w:val="0"/>
          <w:color w:val="auto"/>
          <w:sz w:val="32"/>
          <w:szCs w:val="32"/>
          <w:lang w:val="en-US" w:eastAsia="zh-CN"/>
        </w:rPr>
        <w:t>年为基期年，规划期限为</w:t>
      </w:r>
      <w:r>
        <w:rPr>
          <w:rFonts w:hint="eastAsia" w:ascii="Times New Roman" w:hAnsi="Times New Roman" w:eastAsia="仿宋_GB2312" w:cs="Times New Roman"/>
          <w:b w:val="0"/>
          <w:bCs w:val="0"/>
          <w:sz w:val="32"/>
          <w:szCs w:val="32"/>
          <w:lang w:val="en-US" w:eastAsia="zh-CN"/>
        </w:rPr>
        <w:t>2023-2035</w:t>
      </w:r>
      <w:r>
        <w:rPr>
          <w:rFonts w:hint="eastAsia" w:ascii="仿宋_GB2312" w:hAnsi="仿宋_GB2312" w:eastAsia="仿宋_GB2312" w:cs="仿宋_GB2312"/>
          <w:b w:val="0"/>
          <w:bCs w:val="0"/>
          <w:color w:val="auto"/>
          <w:sz w:val="32"/>
          <w:szCs w:val="32"/>
          <w:lang w:val="en-US" w:eastAsia="zh-CN"/>
        </w:rPr>
        <w:t>年，规划近期至</w:t>
      </w:r>
      <w:r>
        <w:rPr>
          <w:rFonts w:hint="eastAsia" w:ascii="Times New Roman" w:hAnsi="Times New Roman" w:eastAsia="仿宋_GB2312" w:cs="Times New Roman"/>
          <w:b w:val="0"/>
          <w:bCs w:val="0"/>
          <w:sz w:val="32"/>
          <w:szCs w:val="32"/>
          <w:lang w:val="en-US" w:eastAsia="zh-CN"/>
        </w:rPr>
        <w:t>2025</w:t>
      </w:r>
      <w:r>
        <w:rPr>
          <w:rFonts w:hint="eastAsia" w:ascii="仿宋_GB2312" w:hAnsi="仿宋_GB2312" w:eastAsia="仿宋_GB2312" w:cs="仿宋_GB2312"/>
          <w:b w:val="0"/>
          <w:bCs w:val="0"/>
          <w:color w:val="auto"/>
          <w:sz w:val="32"/>
          <w:szCs w:val="32"/>
          <w:lang w:val="en-US" w:eastAsia="zh-CN"/>
        </w:rPr>
        <w:t>年，远期至</w:t>
      </w:r>
      <w:r>
        <w:rPr>
          <w:rFonts w:hint="eastAsia" w:ascii="Times New Roman" w:hAnsi="Times New Roman" w:eastAsia="仿宋_GB2312" w:cs="Times New Roman"/>
          <w:b w:val="0"/>
          <w:bCs w:val="0"/>
          <w:sz w:val="32"/>
          <w:szCs w:val="32"/>
          <w:lang w:val="en-US" w:eastAsia="zh-CN"/>
        </w:rPr>
        <w:t>2035</w:t>
      </w:r>
      <w:r>
        <w:rPr>
          <w:rFonts w:hint="eastAsia" w:ascii="仿宋_GB2312" w:hAnsi="仿宋_GB2312" w:eastAsia="仿宋_GB2312" w:cs="仿宋_GB2312"/>
          <w:b w:val="0"/>
          <w:bCs w:val="0"/>
          <w:color w:val="auto"/>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四、规划方案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1、村庄类型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规划红河镇黑牛沟村为整治改善类村庄。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2、规划定位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结合黑牛沟村现状自然条件、区位条件、产业基础、区域产业布局及政策体系配套情况，以自然资源为前提，以农业科技为支撑，以</w:t>
      </w:r>
      <w:r>
        <w:rPr>
          <w:rFonts w:hint="default" w:ascii="仿宋_GB2312" w:hAnsi="仿宋_GB2312" w:eastAsia="仿宋_GB2312" w:cs="仿宋_GB2312"/>
          <w:b w:val="0"/>
          <w:bCs w:val="0"/>
          <w:color w:val="auto"/>
          <w:sz w:val="32"/>
          <w:szCs w:val="32"/>
          <w:lang w:val="en-US" w:eastAsia="zh-CN"/>
        </w:rPr>
        <w:t>土地综合整治、产业转型升级、人居环境整治、完善村社组织架构为抓手，在切实落实耕地保护和节约集约用地</w:t>
      </w:r>
      <w:bookmarkStart w:id="2" w:name="_GoBack"/>
      <w:bookmarkEnd w:id="2"/>
      <w:r>
        <w:rPr>
          <w:rFonts w:hint="default" w:ascii="仿宋_GB2312" w:hAnsi="仿宋_GB2312" w:eastAsia="仿宋_GB2312" w:cs="仿宋_GB2312"/>
          <w:b w:val="0"/>
          <w:bCs w:val="0"/>
          <w:color w:val="auto"/>
          <w:sz w:val="32"/>
          <w:szCs w:val="32"/>
          <w:lang w:val="en-US" w:eastAsia="zh-CN"/>
        </w:rPr>
        <w:t>前提下，依托</w:t>
      </w:r>
      <w:r>
        <w:rPr>
          <w:rFonts w:hint="eastAsia" w:ascii="仿宋_GB2312" w:hAnsi="仿宋_GB2312" w:eastAsia="仿宋_GB2312" w:cs="仿宋_GB2312"/>
          <w:b w:val="0"/>
          <w:bCs w:val="0"/>
          <w:color w:val="auto"/>
          <w:sz w:val="32"/>
          <w:szCs w:val="32"/>
          <w:lang w:val="en-US" w:eastAsia="zh-CN"/>
        </w:rPr>
        <w:t>优越的区位环境</w:t>
      </w:r>
      <w:r>
        <w:rPr>
          <w:rFonts w:hint="default" w:ascii="仿宋_GB2312" w:hAnsi="仿宋_GB2312" w:eastAsia="仿宋_GB2312" w:cs="仿宋_GB2312"/>
          <w:b w:val="0"/>
          <w:bCs w:val="0"/>
          <w:color w:val="auto"/>
          <w:sz w:val="32"/>
          <w:szCs w:val="32"/>
          <w:lang w:val="en-US" w:eastAsia="zh-CN"/>
        </w:rPr>
        <w:t>和良好的优势资源</w:t>
      </w:r>
      <w:r>
        <w:rPr>
          <w:rFonts w:hint="eastAsia" w:ascii="仿宋_GB2312" w:hAnsi="仿宋_GB2312" w:eastAsia="仿宋_GB2312" w:cs="仿宋_GB2312"/>
          <w:b w:val="0"/>
          <w:bCs w:val="0"/>
          <w:color w:val="auto"/>
          <w:sz w:val="32"/>
          <w:szCs w:val="32"/>
          <w:lang w:val="en-US" w:eastAsia="zh-CN"/>
        </w:rPr>
        <w:t>，将红河镇黑牛沟村定位为：彭阳县标准化养殖示范村、彭阳县宜居宜业和美乡村、彭阳县山清水秀生态乡村。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bookmarkStart w:id="0" w:name="_Toc26930"/>
      <w:r>
        <w:rPr>
          <w:rFonts w:hint="eastAsia" w:ascii="仿宋_GB2312" w:hAnsi="仿宋_GB2312" w:eastAsia="仿宋_GB2312" w:cs="仿宋_GB2312"/>
          <w:b w:val="0"/>
          <w:bCs w:val="0"/>
          <w:color w:val="auto"/>
          <w:sz w:val="32"/>
          <w:szCs w:val="32"/>
          <w:lang w:val="en-US" w:eastAsia="zh-CN"/>
        </w:rPr>
        <w:t>3、国土空间</w:t>
      </w:r>
      <w:bookmarkEnd w:id="0"/>
      <w:r>
        <w:rPr>
          <w:rFonts w:hint="eastAsia" w:ascii="仿宋_GB2312" w:hAnsi="仿宋_GB2312" w:eastAsia="仿宋_GB2312" w:cs="仿宋_GB2312"/>
          <w:b w:val="0"/>
          <w:bCs w:val="0"/>
          <w:color w:val="auto"/>
          <w:sz w:val="32"/>
          <w:szCs w:val="32"/>
          <w:lang w:val="en-US" w:eastAsia="zh-CN"/>
        </w:rPr>
        <w:t>底线管控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（1）生态保护红线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落实上位规划划定的生态保护红线</w:t>
      </w:r>
      <w:r>
        <w:rPr>
          <w:rFonts w:hint="eastAsia" w:ascii="Times New Roman" w:hAnsi="Times New Roman" w:eastAsia="仿宋_GB2312" w:cs="Times New Roman"/>
          <w:b w:val="0"/>
          <w:bCs w:val="0"/>
          <w:sz w:val="32"/>
          <w:szCs w:val="32"/>
          <w:lang w:val="en-US" w:eastAsia="zh-CN"/>
        </w:rPr>
        <w:t>88.6</w:t>
      </w:r>
      <w:r>
        <w:rPr>
          <w:rFonts w:hint="eastAsia" w:ascii="仿宋_GB2312" w:hAnsi="仿宋_GB2312" w:eastAsia="仿宋_GB2312" w:cs="仿宋_GB2312"/>
          <w:b w:val="0"/>
          <w:bCs w:val="0"/>
          <w:color w:val="auto"/>
          <w:sz w:val="32"/>
          <w:szCs w:val="32"/>
          <w:lang w:val="en-US" w:eastAsia="zh-CN"/>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（2）永久基本农田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落实上位规划划定的永久基本农田</w:t>
      </w:r>
      <w:r>
        <w:rPr>
          <w:rFonts w:hint="eastAsia" w:ascii="Times New Roman" w:hAnsi="Times New Roman" w:eastAsia="仿宋_GB2312" w:cs="Times New Roman"/>
          <w:b w:val="0"/>
          <w:bCs w:val="0"/>
          <w:sz w:val="32"/>
          <w:szCs w:val="32"/>
          <w:lang w:val="en-US" w:eastAsia="zh-CN"/>
        </w:rPr>
        <w:t>419.9</w:t>
      </w:r>
      <w:r>
        <w:rPr>
          <w:rFonts w:hint="eastAsia" w:ascii="仿宋_GB2312" w:hAnsi="仿宋_GB2312" w:eastAsia="仿宋_GB2312" w:cs="仿宋_GB2312"/>
          <w:b w:val="0"/>
          <w:bCs w:val="0"/>
          <w:color w:val="auto"/>
          <w:sz w:val="32"/>
          <w:szCs w:val="32"/>
          <w:lang w:val="en-US" w:eastAsia="zh-CN"/>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（3）村庄建设边界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至规划期末，划定红河镇黑牛沟村村庄建设边界规模</w:t>
      </w:r>
      <w:r>
        <w:rPr>
          <w:rFonts w:hint="eastAsia" w:ascii="Times New Roman" w:hAnsi="Times New Roman" w:eastAsia="仿宋_GB2312" w:cs="Times New Roman"/>
          <w:b w:val="0"/>
          <w:bCs w:val="0"/>
          <w:sz w:val="32"/>
          <w:szCs w:val="32"/>
          <w:lang w:val="en-US" w:eastAsia="zh-CN"/>
        </w:rPr>
        <w:t>29.21</w:t>
      </w:r>
      <w:r>
        <w:rPr>
          <w:rFonts w:hint="eastAsia" w:ascii="仿宋_GB2312" w:hAnsi="仿宋_GB2312" w:eastAsia="仿宋_GB2312" w:cs="仿宋_GB2312"/>
          <w:b w:val="0"/>
          <w:bCs w:val="0"/>
          <w:color w:val="auto"/>
          <w:sz w:val="32"/>
          <w:szCs w:val="32"/>
          <w:lang w:val="en-US" w:eastAsia="zh-CN"/>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4、国土空间用地布局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规划城乡建设用地</w:t>
      </w:r>
      <w:r>
        <w:rPr>
          <w:rFonts w:hint="eastAsia" w:ascii="Times New Roman" w:hAnsi="Times New Roman" w:eastAsia="仿宋_GB2312" w:cs="Times New Roman"/>
          <w:b w:val="0"/>
          <w:bCs w:val="0"/>
          <w:sz w:val="32"/>
          <w:szCs w:val="32"/>
          <w:lang w:val="en-US" w:eastAsia="zh-CN"/>
        </w:rPr>
        <w:t>29.21</w:t>
      </w:r>
      <w:r>
        <w:rPr>
          <w:rFonts w:hint="eastAsia" w:ascii="仿宋_GB2312" w:hAnsi="仿宋_GB2312" w:eastAsia="仿宋_GB2312" w:cs="仿宋_GB2312"/>
          <w:b w:val="0"/>
          <w:bCs w:val="0"/>
          <w:color w:val="auto"/>
          <w:sz w:val="32"/>
          <w:szCs w:val="32"/>
          <w:lang w:val="en-US" w:eastAsia="zh-CN"/>
        </w:rPr>
        <w:t>公顷，陆地水域</w:t>
      </w:r>
      <w:r>
        <w:rPr>
          <w:rFonts w:hint="eastAsia" w:ascii="Times New Roman" w:hAnsi="Times New Roman" w:eastAsia="仿宋_GB2312" w:cs="Times New Roman"/>
          <w:b w:val="0"/>
          <w:bCs w:val="0"/>
          <w:sz w:val="32"/>
          <w:szCs w:val="32"/>
          <w:lang w:val="en-US" w:eastAsia="zh-CN"/>
        </w:rPr>
        <w:t>3.4</w:t>
      </w:r>
      <w:r>
        <w:rPr>
          <w:rFonts w:hint="eastAsia" w:ascii="仿宋_GB2312" w:hAnsi="仿宋_GB2312" w:eastAsia="仿宋_GB2312" w:cs="仿宋_GB2312"/>
          <w:b w:val="0"/>
          <w:bCs w:val="0"/>
          <w:color w:val="auto"/>
          <w:sz w:val="32"/>
          <w:szCs w:val="32"/>
          <w:lang w:val="en-US" w:eastAsia="zh-CN"/>
        </w:rPr>
        <w:t>公顷，其他建设用地</w:t>
      </w:r>
      <w:r>
        <w:rPr>
          <w:rFonts w:hint="eastAsia" w:ascii="Times New Roman" w:hAnsi="Times New Roman" w:eastAsia="仿宋_GB2312" w:cs="Times New Roman"/>
          <w:b w:val="0"/>
          <w:bCs w:val="0"/>
          <w:sz w:val="32"/>
          <w:szCs w:val="32"/>
          <w:lang w:val="en-US" w:eastAsia="zh-CN"/>
        </w:rPr>
        <w:t>6.93</w:t>
      </w:r>
      <w:r>
        <w:rPr>
          <w:rFonts w:hint="eastAsia" w:ascii="仿宋_GB2312" w:hAnsi="仿宋_GB2312" w:eastAsia="仿宋_GB2312" w:cs="仿宋_GB2312"/>
          <w:b w:val="0"/>
          <w:bCs w:val="0"/>
          <w:color w:val="auto"/>
          <w:sz w:val="32"/>
          <w:szCs w:val="32"/>
          <w:lang w:val="en-US" w:eastAsia="zh-CN"/>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5、产业发展规划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bookmarkStart w:id="1" w:name="_Toc22517"/>
      <w:r>
        <w:rPr>
          <w:rFonts w:hint="eastAsia" w:ascii="仿宋_GB2312" w:hAnsi="仿宋_GB2312" w:eastAsia="仿宋_GB2312" w:cs="仿宋_GB2312"/>
          <w:b w:val="0"/>
          <w:bCs w:val="0"/>
          <w:color w:val="auto"/>
          <w:sz w:val="32"/>
          <w:szCs w:val="32"/>
          <w:lang w:val="en-US" w:eastAsia="zh-CN"/>
        </w:rPr>
        <w:t>结合黑牛沟村资源特色，打破村庄孤立发展局面，统筹村庄的定位和主题，引导村庄错位发展，让游客感受不同的景观和体验。结合黑牛沟村的地理位置及产业发展，规划提出“一轴三区多节点”的产业空间发展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一轴：依托上文公路及产业融合发展的产业联动发展轴。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三区：林业涵养功能区、农业种植功能区、特色养殖功能区。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多节点：花椒种植地、土豆种植地、玉米种植地、肉牛养殖点等。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6、历史文化保护利用及传承</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在本次规划的村庄中，暂不涉及历史文物保护单位。非物质文化遗产方面，主要以秦腔为代表。规划将加强对非遗项目的传承保护，完善村庄内部基础设施、停车场、游客服务中心等配套建设。构建村庄观光、休闲度假、文化体验和特色民俗为一体的乡村旅游产品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7、用途管制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（1）耕地与永久基本农田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任何单位和个人不得擅自占用或改变用途。村民不得随意占用耕地，确需占用的，应经村民小组确认，村委会审查同意出具书面意见后，由镇政府按程序办理相关报批手续。未经批准，不得在园地、林地及其他农用地进行非农建设活动，不得进行毁林开垦、采石、挖沙、采矿、取土等活动。黑牛沟村划定的设施农用地应按规定要求兴建设施和使用土地，不得擅自或变相将设施农用地用于其他非农建设，并采取措施防止对土壤耕作层破坏和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（2）生态保护管控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禁止在红线范围内从事不符合国家规定的活动。严格保护村内林地、湿地、陆地水域、其他自然保留地等生态用地，不得进行破坏生态景观、污染环境的开发建设活动，做到慎砍树、禁挖山、不填湖。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（3）建设空间管制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现状村内零星的建设用地建议通过土地整理、宅基地置换等方式逐渐向村庄建设边界内集中。规划村庄建设用地应按照以下规则进行村庄建设用地空间管制。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农村住宅：规划新申请的宅基地，应在划定的宅基地范围内，优先利用村内空闲地、闲置宅基地和未利用地。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根据《宁夏回族自治区土地管理条例》（</w:t>
      </w:r>
      <w:r>
        <w:rPr>
          <w:rFonts w:hint="eastAsia" w:ascii="Times New Roman" w:hAnsi="Times New Roman" w:eastAsia="仿宋_GB2312" w:cs="Times New Roman"/>
          <w:b w:val="0"/>
          <w:bCs w:val="0"/>
          <w:sz w:val="32"/>
          <w:szCs w:val="32"/>
          <w:lang w:val="en-US" w:eastAsia="zh-CN"/>
        </w:rPr>
        <w:t>2022</w:t>
      </w:r>
      <w:r>
        <w:rPr>
          <w:rFonts w:hint="eastAsia" w:ascii="仿宋_GB2312" w:hAnsi="仿宋_GB2312" w:eastAsia="仿宋_GB2312" w:cs="仿宋_GB2312"/>
          <w:b w:val="0"/>
          <w:bCs w:val="0"/>
          <w:color w:val="auto"/>
          <w:sz w:val="32"/>
          <w:szCs w:val="32"/>
          <w:lang w:val="en-US" w:eastAsia="zh-CN"/>
        </w:rPr>
        <w:t>年修订版）要求，新建住宅的宅基地面积（包括附属用房、庭院用地）使用水浇地的，每户不得超过</w:t>
      </w:r>
      <w:r>
        <w:rPr>
          <w:rFonts w:hint="eastAsia" w:ascii="Times New Roman" w:hAnsi="Times New Roman" w:eastAsia="仿宋_GB2312" w:cs="Times New Roman"/>
          <w:b w:val="0"/>
          <w:bCs w:val="0"/>
          <w:sz w:val="32"/>
          <w:szCs w:val="32"/>
          <w:lang w:val="en-US" w:eastAsia="zh-CN"/>
        </w:rPr>
        <w:t>270</w:t>
      </w:r>
      <w:r>
        <w:rPr>
          <w:rFonts w:hint="eastAsia" w:ascii="仿宋_GB2312" w:hAnsi="仿宋_GB2312" w:eastAsia="仿宋_GB2312" w:cs="仿宋_GB2312"/>
          <w:b w:val="0"/>
          <w:bCs w:val="0"/>
          <w:color w:val="auto"/>
          <w:sz w:val="32"/>
          <w:szCs w:val="32"/>
          <w:lang w:val="en-US" w:eastAsia="zh-CN"/>
        </w:rPr>
        <w:t>㎡；使用平川旱作耕地的，每户不得超过</w:t>
      </w:r>
      <w:r>
        <w:rPr>
          <w:rFonts w:hint="eastAsia" w:ascii="Times New Roman" w:hAnsi="Times New Roman" w:eastAsia="仿宋_GB2312" w:cs="Times New Roman"/>
          <w:b w:val="0"/>
          <w:bCs w:val="0"/>
          <w:sz w:val="32"/>
          <w:szCs w:val="32"/>
          <w:lang w:val="en-US" w:eastAsia="zh-CN"/>
        </w:rPr>
        <w:t>400</w:t>
      </w:r>
      <w:r>
        <w:rPr>
          <w:rFonts w:hint="eastAsia" w:ascii="仿宋_GB2312" w:hAnsi="仿宋_GB2312" w:eastAsia="仿宋_GB2312" w:cs="仿宋_GB2312"/>
          <w:b w:val="0"/>
          <w:bCs w:val="0"/>
          <w:color w:val="auto"/>
          <w:sz w:val="32"/>
          <w:szCs w:val="32"/>
          <w:lang w:val="en-US" w:eastAsia="zh-CN"/>
        </w:rPr>
        <w:t>㎡；使用山坡地的，每户不得超过</w:t>
      </w:r>
      <w:r>
        <w:rPr>
          <w:rFonts w:hint="eastAsia" w:ascii="Times New Roman" w:hAnsi="Times New Roman" w:eastAsia="仿宋_GB2312" w:cs="Times New Roman"/>
          <w:b w:val="0"/>
          <w:bCs w:val="0"/>
          <w:sz w:val="32"/>
          <w:szCs w:val="32"/>
          <w:lang w:val="en-US" w:eastAsia="zh-CN"/>
        </w:rPr>
        <w:t>540</w:t>
      </w:r>
      <w:r>
        <w:rPr>
          <w:rFonts w:hint="eastAsia" w:ascii="仿宋_GB2312" w:hAnsi="仿宋_GB2312" w:eastAsia="仿宋_GB2312" w:cs="仿宋_GB2312"/>
          <w:b w:val="0"/>
          <w:bCs w:val="0"/>
          <w:color w:val="auto"/>
          <w:sz w:val="32"/>
          <w:szCs w:val="32"/>
          <w:lang w:val="en-US" w:eastAsia="zh-CN"/>
        </w:rPr>
        <w:t>㎡。住房应体现地方特色，符合村庄整体景观风貌控制性要求。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在路边新建农房时，距县道不少于</w:t>
      </w:r>
      <w:r>
        <w:rPr>
          <w:rFonts w:hint="eastAsia" w:ascii="Times New Roman" w:hAnsi="Times New Roman" w:eastAsia="仿宋_GB2312" w:cs="Times New Roman"/>
          <w:b w:val="0"/>
          <w:bCs w:val="0"/>
          <w:sz w:val="32"/>
          <w:szCs w:val="32"/>
          <w:lang w:val="en-US" w:eastAsia="zh-CN"/>
        </w:rPr>
        <w:t>10</w:t>
      </w:r>
      <w:r>
        <w:rPr>
          <w:rFonts w:hint="eastAsia" w:ascii="仿宋_GB2312" w:hAnsi="仿宋_GB2312" w:eastAsia="仿宋_GB2312" w:cs="仿宋_GB2312"/>
          <w:b w:val="0"/>
          <w:bCs w:val="0"/>
          <w:color w:val="auto"/>
          <w:sz w:val="32"/>
          <w:szCs w:val="32"/>
          <w:lang w:val="en-US" w:eastAsia="zh-CN"/>
        </w:rPr>
        <w:t>米，距乡道不少于</w:t>
      </w:r>
      <w:r>
        <w:rPr>
          <w:rFonts w:hint="eastAsia"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b w:val="0"/>
          <w:bCs w:val="0"/>
          <w:color w:val="auto"/>
          <w:sz w:val="32"/>
          <w:szCs w:val="32"/>
          <w:lang w:val="en-US" w:eastAsia="zh-CN"/>
        </w:rPr>
        <w:t>米，距村主要道路不少于</w:t>
      </w: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color w:val="auto"/>
          <w:sz w:val="32"/>
          <w:szCs w:val="32"/>
          <w:lang w:val="en-US" w:eastAsia="zh-CN"/>
        </w:rPr>
        <w:t>米；沿山体周边建设时，不得新增削坡建房，距山体护坡沿不少于</w:t>
      </w:r>
      <w:r>
        <w:rPr>
          <w:rFonts w:hint="eastAsia" w:ascii="Times New Roman" w:hAnsi="Times New Roman" w:eastAsia="仿宋_GB2312" w:cs="Times New Roman"/>
          <w:b w:val="0"/>
          <w:bCs w:val="0"/>
          <w:sz w:val="32"/>
          <w:szCs w:val="32"/>
          <w:lang w:val="en-US" w:eastAsia="zh-CN"/>
        </w:rPr>
        <w:t>6</w:t>
      </w:r>
      <w:r>
        <w:rPr>
          <w:rFonts w:hint="eastAsia" w:ascii="仿宋_GB2312" w:hAnsi="仿宋_GB2312" w:eastAsia="仿宋_GB2312" w:cs="仿宋_GB2312"/>
          <w:b w:val="0"/>
          <w:bCs w:val="0"/>
          <w:color w:val="auto"/>
          <w:sz w:val="32"/>
          <w:szCs w:val="32"/>
          <w:lang w:val="en-US" w:eastAsia="zh-CN"/>
        </w:rPr>
        <w:t>米；沿河溪建房时，距河溪边沿不少于</w:t>
      </w:r>
      <w:r>
        <w:rPr>
          <w:rFonts w:hint="eastAsia" w:ascii="Times New Roman" w:hAnsi="Times New Roman" w:eastAsia="仿宋_GB2312" w:cs="Times New Roman"/>
          <w:b w:val="0"/>
          <w:bCs w:val="0"/>
          <w:sz w:val="32"/>
          <w:szCs w:val="32"/>
          <w:lang w:val="en-US" w:eastAsia="zh-CN"/>
        </w:rPr>
        <w:t>15</w:t>
      </w:r>
      <w:r>
        <w:rPr>
          <w:rFonts w:hint="eastAsia" w:ascii="仿宋_GB2312" w:hAnsi="仿宋_GB2312" w:eastAsia="仿宋_GB2312" w:cs="仿宋_GB2312"/>
          <w:b w:val="0"/>
          <w:bCs w:val="0"/>
          <w:color w:val="auto"/>
          <w:sz w:val="32"/>
          <w:szCs w:val="32"/>
          <w:lang w:val="en-US" w:eastAsia="zh-CN"/>
        </w:rPr>
        <w:t>米。因道路退缩造成原有宅基地无法建房的，由镇、村另行规划村民集中建房用地，确保新农村建设健康有序发展。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产业发展：经营性建设用地建筑密度需控制在</w:t>
      </w:r>
      <w:r>
        <w:rPr>
          <w:rFonts w:hint="eastAsia" w:ascii="Times New Roman" w:hAnsi="Times New Roman" w:eastAsia="仿宋_GB2312" w:cs="Times New Roman"/>
          <w:b w:val="0"/>
          <w:bCs w:val="0"/>
          <w:sz w:val="32"/>
          <w:szCs w:val="32"/>
          <w:lang w:val="en-US" w:eastAsia="zh-CN"/>
        </w:rPr>
        <w:t>70</w:t>
      </w:r>
      <w:r>
        <w:rPr>
          <w:rFonts w:hint="eastAsia" w:ascii="仿宋_GB2312" w:hAnsi="仿宋_GB2312" w:eastAsia="仿宋_GB2312" w:cs="仿宋_GB2312"/>
          <w:b w:val="0"/>
          <w:bCs w:val="0"/>
          <w:color w:val="auto"/>
          <w:sz w:val="32"/>
          <w:szCs w:val="32"/>
          <w:lang w:val="en-US" w:eastAsia="zh-CN"/>
        </w:rPr>
        <w:t>%以下，建筑高度不超过</w:t>
      </w:r>
      <w:r>
        <w:rPr>
          <w:rFonts w:hint="eastAsia" w:ascii="Times New Roman" w:hAnsi="Times New Roman" w:eastAsia="仿宋_GB2312" w:cs="Times New Roman"/>
          <w:b w:val="0"/>
          <w:bCs w:val="0"/>
          <w:sz w:val="32"/>
          <w:szCs w:val="32"/>
          <w:lang w:val="en-US" w:eastAsia="zh-CN"/>
        </w:rPr>
        <w:t>18</w:t>
      </w:r>
      <w:r>
        <w:rPr>
          <w:rFonts w:hint="eastAsia" w:ascii="仿宋_GB2312" w:hAnsi="仿宋_GB2312" w:eastAsia="仿宋_GB2312" w:cs="仿宋_GB2312"/>
          <w:b w:val="0"/>
          <w:bCs w:val="0"/>
          <w:color w:val="auto"/>
          <w:sz w:val="32"/>
          <w:szCs w:val="32"/>
          <w:lang w:val="en-US" w:eastAsia="zh-CN"/>
        </w:rPr>
        <w:t>米（若该经营性建设用地靠近文保单位，则限高需按文物保护相关控制要求进行调整），容积率不超过</w:t>
      </w:r>
      <w:r>
        <w:rPr>
          <w:rFonts w:hint="eastAsia" w:ascii="Times New Roman" w:hAnsi="Times New Roman" w:eastAsia="仿宋_GB2312" w:cs="Times New Roman"/>
          <w:b w:val="0"/>
          <w:bCs w:val="0"/>
          <w:sz w:val="32"/>
          <w:szCs w:val="32"/>
          <w:lang w:val="en-US" w:eastAsia="zh-CN"/>
        </w:rPr>
        <w:t>2.0</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经营性建设用地调整应经村民小组确认，由村委会审查同意，逐级报村庄规划原审批机关批准。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基础设施和公共服务设施：不得占用交通用地建房，在村内主要道路两侧建房应后退</w:t>
      </w: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color w:val="auto"/>
          <w:sz w:val="32"/>
          <w:szCs w:val="32"/>
          <w:lang w:val="en-US" w:eastAsia="zh-CN"/>
        </w:rPr>
        <w:t>米。村内供水、污水处理设施以及房屋排水接口需经村委会确认后再进行建设。村民不得随意占用垃圾收集点、公厕、污水处理设施等基础设施用地及综合服务站、基层综合性文化服务中心、卫生室、养老和教育等公共服务设施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b w:val="0"/>
          <w:bCs w:val="0"/>
        </w:rPr>
      </w:pPr>
      <w:r>
        <w:rPr>
          <w:rFonts w:hint="eastAsia" w:ascii="仿宋_GB2312" w:hAnsi="仿宋_GB2312" w:eastAsia="仿宋_GB2312" w:cs="仿宋_GB2312"/>
          <w:b w:val="0"/>
          <w:bCs w:val="0"/>
          <w:color w:val="auto"/>
          <w:sz w:val="32"/>
          <w:szCs w:val="32"/>
          <w:lang w:val="en-US" w:eastAsia="zh-CN"/>
        </w:rPr>
        <w:t>弹性管控：对规划期内确定使用，但暂时无法明确具体规划用途的建设用地，采取留白方式处理，暂不确定具体规划用地性质，为未来的布局优化、项目落地预留空间。后续使用留白用地，应符合国家和自治区相关规定要求。暂时无法明确具体地块及规模边界的项目，在用地规划图中采用点位预制的方法，表达项目的类别和意向性位置，并纳入项目清单管理，后续可根据项目建设需要再确定具体边界、规模和相应的规划管控要求。在不突破规划建设用地规模、不占用永久基本农田和生态保护红线的前提下，村庄规划中预留一定比例的建设用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46C886"/>
    <w:multiLevelType w:val="singleLevel"/>
    <w:tmpl w:val="A146C886"/>
    <w:lvl w:ilvl="0" w:tentative="0">
      <w:start w:val="1"/>
      <w:numFmt w:val="decimal"/>
      <w:pStyle w:val="4"/>
      <w:lvlText w:val="%1)"/>
      <w:lvlJc w:val="left"/>
      <w:pPr>
        <w:ind w:left="425" w:hanging="425"/>
      </w:pPr>
      <w:rPr>
        <w:rFonts w:hint="default"/>
      </w:rPr>
    </w:lvl>
  </w:abstractNum>
  <w:abstractNum w:abstractNumId="1">
    <w:nsid w:val="E438E90E"/>
    <w:multiLevelType w:val="multilevel"/>
    <w:tmpl w:val="E438E90E"/>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23EF4573"/>
    <w:multiLevelType w:val="multilevel"/>
    <w:tmpl w:val="23EF4573"/>
    <w:lvl w:ilvl="0" w:tentative="0">
      <w:start w:val="1"/>
      <w:numFmt w:val="decimal"/>
      <w:lvlText w:val="%1."/>
      <w:lvlJc w:val="left"/>
      <w:pPr>
        <w:tabs>
          <w:tab w:val="left" w:pos="420"/>
        </w:tabs>
        <w:ind w:left="425" w:leftChars="0" w:hanging="425" w:firstLineChars="0"/>
      </w:pPr>
      <w:rPr>
        <w:rFonts w:hint="default" w:ascii="宋体" w:hAnsi="宋体" w:eastAsia="宋体" w:cs="宋体"/>
      </w:rPr>
    </w:lvl>
    <w:lvl w:ilvl="1" w:tentative="0">
      <w:start w:val="1"/>
      <w:numFmt w:val="none"/>
      <w:pStyle w:val="3"/>
      <w:lvlText w:val="(%1)"/>
      <w:lvlJc w:val="left"/>
      <w:pPr>
        <w:tabs>
          <w:tab w:val="left" w:pos="840"/>
        </w:tabs>
        <w:ind w:left="840" w:leftChars="0" w:hanging="420" w:firstLineChars="0"/>
      </w:pPr>
      <w:rPr>
        <w:rFonts w:hint="default" w:ascii="宋体" w:hAnsi="宋体" w:eastAsia="宋体" w:cs="宋体"/>
      </w:rPr>
    </w:lvl>
    <w:lvl w:ilvl="2" w:tentative="0">
      <w:start w:val="1"/>
      <w:numFmt w:val="decimal"/>
      <w:lvlText w:val="%3)"/>
      <w:lvlJc w:val="left"/>
      <w:pPr>
        <w:tabs>
          <w:tab w:val="left" w:pos="1260"/>
        </w:tabs>
        <w:ind w:left="1260" w:leftChars="0" w:hanging="420" w:firstLineChars="0"/>
      </w:pPr>
      <w:rPr>
        <w:rFonts w:hint="default" w:ascii="宋体" w:hAnsi="宋体" w:eastAsia="宋体" w:cs="宋体"/>
      </w:rPr>
    </w:lvl>
    <w:lvl w:ilvl="3" w:tentative="0">
      <w:start w:val="1"/>
      <w:numFmt w:val="lowerLetter"/>
      <w:lvlText w:val="%4."/>
      <w:lvlJc w:val="left"/>
      <w:pPr>
        <w:tabs>
          <w:tab w:val="left" w:pos="1680"/>
        </w:tabs>
        <w:ind w:left="1680" w:leftChars="0" w:hanging="420" w:firstLineChars="0"/>
      </w:pPr>
      <w:rPr>
        <w:rFonts w:hint="default" w:ascii="宋体" w:hAnsi="宋体" w:eastAsia="宋体" w:cs="宋体"/>
      </w:rPr>
    </w:lvl>
    <w:lvl w:ilvl="4" w:tentative="0">
      <w:start w:val="1"/>
      <w:numFmt w:val="lowerLetter"/>
      <w:lvlText w:val="%5)"/>
      <w:lvlJc w:val="left"/>
      <w:pPr>
        <w:tabs>
          <w:tab w:val="left" w:pos="2100"/>
        </w:tabs>
        <w:ind w:left="2100" w:leftChars="0" w:hanging="420" w:firstLineChars="0"/>
      </w:pPr>
      <w:rPr>
        <w:rFonts w:hint="default" w:ascii="宋体" w:hAnsi="宋体" w:eastAsia="宋体" w:cs="宋体"/>
      </w:rPr>
    </w:lvl>
    <w:lvl w:ilvl="5" w:tentative="0">
      <w:start w:val="1"/>
      <w:numFmt w:val="lowerRoman"/>
      <w:lvlText w:val="%6."/>
      <w:lvlJc w:val="left"/>
      <w:pPr>
        <w:tabs>
          <w:tab w:val="left" w:pos="2520"/>
        </w:tabs>
        <w:ind w:left="2520" w:leftChars="0" w:hanging="420" w:firstLineChars="0"/>
      </w:pPr>
      <w:rPr>
        <w:rFonts w:hint="default" w:ascii="宋体" w:hAnsi="宋体" w:eastAsia="宋体" w:cs="宋体"/>
      </w:rPr>
    </w:lvl>
    <w:lvl w:ilvl="6" w:tentative="0">
      <w:start w:val="1"/>
      <w:numFmt w:val="lowerRoman"/>
      <w:lvlText w:val="%7)"/>
      <w:lvlJc w:val="left"/>
      <w:pPr>
        <w:tabs>
          <w:tab w:val="left" w:pos="2940"/>
        </w:tabs>
        <w:ind w:left="2940" w:leftChars="0" w:hanging="420" w:firstLineChars="0"/>
      </w:pPr>
      <w:rPr>
        <w:rFonts w:hint="default" w:ascii="宋体" w:hAnsi="宋体" w:eastAsia="宋体" w:cs="宋体"/>
      </w:rPr>
    </w:lvl>
    <w:lvl w:ilvl="7" w:tentative="0">
      <w:start w:val="1"/>
      <w:numFmt w:val="lowerLetter"/>
      <w:lvlText w:val="%8."/>
      <w:lvlJc w:val="left"/>
      <w:pPr>
        <w:tabs>
          <w:tab w:val="left" w:pos="3360"/>
        </w:tabs>
        <w:ind w:left="3360" w:leftChars="0" w:hanging="420" w:firstLineChars="0"/>
      </w:pPr>
      <w:rPr>
        <w:rFonts w:hint="default" w:ascii="宋体" w:hAnsi="宋体" w:eastAsia="宋体" w:cs="宋体"/>
      </w:rPr>
    </w:lvl>
    <w:lvl w:ilvl="8" w:tentative="0">
      <w:start w:val="1"/>
      <w:numFmt w:val="lowerLetter"/>
      <w:lvlText w:val="%9)"/>
      <w:lvlJc w:val="left"/>
      <w:pPr>
        <w:tabs>
          <w:tab w:val="left" w:pos="3780"/>
        </w:tabs>
        <w:ind w:left="3780" w:leftChars="0" w:hanging="420" w:firstLineChars="0"/>
      </w:pPr>
      <w:rPr>
        <w:rFonts w:hint="default" w:ascii="宋体" w:hAnsi="宋体" w:eastAsia="宋体" w:cs="宋体"/>
      </w:rPr>
    </w:lvl>
  </w:abstractNum>
  <w:abstractNum w:abstractNumId="3">
    <w:nsid w:val="28DFF3E3"/>
    <w:multiLevelType w:val="singleLevel"/>
    <w:tmpl w:val="28DFF3E3"/>
    <w:lvl w:ilvl="0" w:tentative="0">
      <w:start w:val="1"/>
      <w:numFmt w:val="decimal"/>
      <w:pStyle w:val="2"/>
      <w:suff w:val="nothing"/>
      <w:lvlText w:val="%1．"/>
      <w:lvlJc w:val="left"/>
      <w:pPr>
        <w:ind w:left="0" w:firstLine="400"/>
      </w:pPr>
      <w:rPr>
        <w:rFonts w:hint="default"/>
        <w:b/>
        <w:bCs/>
      </w:rPr>
    </w:lvl>
  </w:abstractNum>
  <w:abstractNum w:abstractNumId="4">
    <w:nsid w:val="58654B64"/>
    <w:multiLevelType w:val="singleLevel"/>
    <w:tmpl w:val="58654B64"/>
    <w:lvl w:ilvl="0" w:tentative="0">
      <w:start w:val="1"/>
      <w:numFmt w:val="decimal"/>
      <w:pStyle w:val="5"/>
      <w:lvlText w:val="(%1)"/>
      <w:lvlJc w:val="left"/>
      <w:pPr>
        <w:tabs>
          <w:tab w:val="left" w:pos="0"/>
        </w:tabs>
        <w:ind w:left="0" w:leftChars="0" w:firstLine="0" w:firstLineChars="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MjQwMzI1MTZjZTY5Mjk5Y2IwMTZkODRlMmVjM2UifQ=="/>
  </w:docVars>
  <w:rsids>
    <w:rsidRoot w:val="030F48BA"/>
    <w:rsid w:val="022950E4"/>
    <w:rsid w:val="030F48BA"/>
    <w:rsid w:val="11F25176"/>
    <w:rsid w:val="1F670AF4"/>
    <w:rsid w:val="27641BAC"/>
    <w:rsid w:val="27D53962"/>
    <w:rsid w:val="27E3087F"/>
    <w:rsid w:val="2B9D7C66"/>
    <w:rsid w:val="393C572C"/>
    <w:rsid w:val="3B097DBE"/>
    <w:rsid w:val="3BAB2D63"/>
    <w:rsid w:val="3F244204"/>
    <w:rsid w:val="454B6DA1"/>
    <w:rsid w:val="4572218D"/>
    <w:rsid w:val="46F12261"/>
    <w:rsid w:val="49193DBE"/>
    <w:rsid w:val="4D526D7E"/>
    <w:rsid w:val="50D9724D"/>
    <w:rsid w:val="514A69D7"/>
    <w:rsid w:val="572C4450"/>
    <w:rsid w:val="68686BE3"/>
    <w:rsid w:val="693E052C"/>
    <w:rsid w:val="6AE93DF6"/>
    <w:rsid w:val="72BA6170"/>
    <w:rsid w:val="78C623FF"/>
    <w:rsid w:val="78E36255"/>
    <w:rsid w:val="79231D4F"/>
    <w:rsid w:val="7D7D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napToGrid w:val="0"/>
      <w:spacing w:before="50" w:beforeLines="50" w:beforeAutospacing="0" w:afterAutospacing="0" w:line="360" w:lineRule="auto"/>
      <w:ind w:firstLine="0" w:firstLineChars="0"/>
      <w:outlineLvl w:val="0"/>
    </w:pPr>
    <w:rPr>
      <w:rFonts w:ascii="宋体" w:hAnsi="宋体" w:eastAsia="宋体" w:cs="宋体"/>
      <w:b/>
      <w:color w:val="000000" w:themeColor="text1"/>
      <w:kern w:val="44"/>
      <w:sz w:val="28"/>
      <w14:textFill>
        <w14:solidFill>
          <w14:schemeClr w14:val="tx1"/>
        </w14:solidFill>
      </w14:textFill>
    </w:rPr>
  </w:style>
  <w:style w:type="paragraph" w:styleId="3">
    <w:name w:val="heading 2"/>
    <w:basedOn w:val="1"/>
    <w:next w:val="1"/>
    <w:semiHidden/>
    <w:unhideWhenUsed/>
    <w:qFormat/>
    <w:uiPriority w:val="0"/>
    <w:pPr>
      <w:keepNext/>
      <w:keepLines/>
      <w:numPr>
        <w:ilvl w:val="1"/>
        <w:numId w:val="2"/>
      </w:numPr>
      <w:tabs>
        <w:tab w:val="left" w:pos="420"/>
        <w:tab w:val="clear" w:pos="840"/>
      </w:tabs>
      <w:adjustRightInd w:val="0"/>
      <w:spacing w:before="50" w:beforeLines="50" w:line="360" w:lineRule="auto"/>
      <w:ind w:left="0" w:firstLine="0" w:firstLineChars="200"/>
      <w:outlineLvl w:val="1"/>
    </w:pPr>
    <w:rPr>
      <w:rFonts w:ascii="宋体" w:hAnsi="宋体" w:eastAsia="宋体" w:cs="宋体"/>
      <w:b/>
      <w:bCs/>
      <w:color w:val="000000" w:themeColor="text1"/>
      <w:sz w:val="24"/>
      <w:szCs w:val="32"/>
      <w14:textFill>
        <w14:solidFill>
          <w14:schemeClr w14:val="tx1"/>
        </w14:solidFill>
      </w14:textFill>
    </w:rPr>
  </w:style>
  <w:style w:type="paragraph" w:styleId="4">
    <w:name w:val="heading 3"/>
    <w:basedOn w:val="3"/>
    <w:next w:val="1"/>
    <w:link w:val="13"/>
    <w:semiHidden/>
    <w:unhideWhenUsed/>
    <w:qFormat/>
    <w:uiPriority w:val="0"/>
    <w:pPr>
      <w:keepNext/>
      <w:keepLines/>
      <w:numPr>
        <w:ilvl w:val="0"/>
        <w:numId w:val="3"/>
      </w:numPr>
      <w:tabs>
        <w:tab w:val="left" w:pos="0"/>
        <w:tab w:val="clear" w:pos="420"/>
      </w:tabs>
      <w:adjustRightInd w:val="0"/>
      <w:spacing w:beforeAutospacing="0" w:afterLines="0" w:afterAutospacing="0" w:line="360" w:lineRule="auto"/>
      <w:ind w:left="0" w:firstLine="480" w:firstLineChars="200"/>
      <w:outlineLvl w:val="2"/>
    </w:pPr>
  </w:style>
  <w:style w:type="paragraph" w:styleId="5">
    <w:name w:val="heading 4"/>
    <w:basedOn w:val="1"/>
    <w:next w:val="1"/>
    <w:semiHidden/>
    <w:unhideWhenUsed/>
    <w:qFormat/>
    <w:uiPriority w:val="0"/>
    <w:pPr>
      <w:keepNext/>
      <w:keepLines/>
      <w:numPr>
        <w:ilvl w:val="0"/>
        <w:numId w:val="4"/>
      </w:numPr>
      <w:spacing w:beforeLines="0" w:beforeAutospacing="0" w:afterLines="0" w:afterAutospacing="0" w:line="360" w:lineRule="auto"/>
      <w:ind w:firstLine="480" w:firstLineChars="200"/>
      <w:outlineLvl w:val="3"/>
    </w:pPr>
    <w:rPr>
      <w:rFonts w:ascii="宋体" w:hAnsi="宋体" w:eastAsia="宋体"/>
      <w:color w:val="000000" w:themeColor="text1"/>
      <w:sz w:val="24"/>
      <w14:textFill>
        <w14:solidFill>
          <w14:schemeClr w14:val="tx1"/>
        </w14:solidFill>
      </w14:textFill>
    </w:rPr>
  </w:style>
  <w:style w:type="paragraph" w:styleId="6">
    <w:name w:val="heading 5"/>
    <w:basedOn w:val="1"/>
    <w:next w:val="1"/>
    <w:semiHidden/>
    <w:unhideWhenUsed/>
    <w:qFormat/>
    <w:uiPriority w:val="0"/>
    <w:pPr>
      <w:keepNext/>
      <w:keepLines/>
      <w:numPr>
        <w:ilvl w:val="4"/>
        <w:numId w:val="5"/>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5"/>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5"/>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5"/>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5"/>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character" w:customStyle="1" w:styleId="13">
    <w:name w:val="标题 3 Char"/>
    <w:link w:val="4"/>
    <w:qFormat/>
    <w:uiPriority w:val="0"/>
    <w:rPr>
      <w:rFonts w:ascii="宋体" w:hAnsi="宋体" w:eastAsia="宋体"/>
      <w:b/>
      <w:color w:val="000000" w:themeColor="text1"/>
      <w:sz w:val="24"/>
      <w14:textFill>
        <w14:solidFill>
          <w14:schemeClr w14:val="tx1"/>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2023-10-08T08:47:00Z</dcterms:created>
  <dc:creator> 猫</dc:creator>
  <cp:lastModifiedBy>彭阳局信息员</cp:lastModifiedBy>
  <dcterms:modified xsi:type="dcterms:W3CDTF">2023-11-12T10:04:03Z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EF29D24607B446C4821C8F0DCB561994_13</vt:lpwstr>
  </property>
</Properties>
</file>