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</w:rPr>
        <w:t>彭阳县古城镇罗山村、</w:t>
      </w:r>
      <w:r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  <w:lang w:eastAsia="zh-CN"/>
        </w:rPr>
        <w:t>甘海</w:t>
      </w:r>
      <w:r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</w:rPr>
        <w:t>村、王大户村、丁岗堡村村庄规划（2023-2035年）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</w:rPr>
        <w:t>一、项目名称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《彭阳县古城镇罗山村、甘海村、王大户村、丁岗堡村“多规合一”实用性村庄规划（2023-2035年）》。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</w:rPr>
        <w:t>二、规划范围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本次规划范围为彭阳县古城镇罗山村、甘海村、王大户村、丁岗堡村四村连片的行政辖区内的全域国土空间，四村村域总面积为7299.56公顷。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其中罗山村国土面积为3112.87公顷，辖5个村民小组，分别为天喜湾组、罗山组、石湾组、党阳洼组和吴渠组。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甘海村国土面积为857.63公顷，辖4个村民小组，分别为姚湾组、甘海组、白杨庄组和杨庄组。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王大户村国土面积为1799.07公顷，辖1个村民小组为王大户组。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丁岗堡村国土面积为1529.99公顷，辖7个村民小组，分别为崾岘组、阳山组、里湾组、堡子组、南山组、酸刺湾组和涝子湾组。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</w:rPr>
        <w:t>三、规划期限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本次村庄规划以2022年为基期年，规划期限2023-2035年，规划近期至2025年，远期至2035年。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</w:rPr>
        <w:t>四、规划方案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1、村庄类型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规划王大户村和罗山村为特色保护类村庄，丁岗堡村和甘海村为整治改善类村庄。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2、规划定位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结合四村的现状自然条件、区位条件、产业基础、区域产业布局及政策体系配套，以自然资源保护为前提，以农业科技为支撑，以土地综合整治、产业转型升级、人居环境整治、完善村社组织架构为抓手，在切实落实耕地保护和节约集约用地的前提下，依托优越的区位环境和良好的优势资源，将罗山村、甘海村、王大户村、丁岗堡村四村连片区域定位为：固原市红梅杏种植及养殖基地、彭阳县生态宜居美丽村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Toc26930"/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3、国土空间</w:t>
      </w:r>
      <w:bookmarkEnd w:id="0"/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底线管控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（1）生态保护红线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落实上位规划定的生态保护红线5094.96公顷。其中，罗山村涉及2539.55公顷，甘海村涉及410.10公顷，王大户村涉及1479.85公顷，丁岗堡村涉及665.46公顷。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（2）永久基本农田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落实上位规划定的永久基本农田875.85公顷。其中，罗山村涉及159.11公顷，甘海村涉及190.60公顷，王大户村涉及105.03公顷，丁岗堡村涉及421.11公顷。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（3）村庄建设边界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至规划期末，划定罗山村、甘海村、王大户村、丁岗堡村村庄建设边界规模53.9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9公顷，其中罗山村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11.16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公顷、甘海村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17.66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公顷、王大户村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6.02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公顷、丁岗堡村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19.15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公顷。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4、国土空间用地布局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规划城乡建设用地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53.99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公顷，均为村庄建设用地，其中罗山村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11.16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公顷、甘海村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17.66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公顷、王大户村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6.02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公顷、丁岗堡村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19.15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公顷；区域基础设施建设用地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28.70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公顷，其中罗山村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20.63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公顷、甘海村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5.95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公顷、王大户村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2.12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公顷、丁岗堡村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0.00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公顷；其他建设用地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0.44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公顷，其中罗山村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0.00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公顷、甘海村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0.10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公顷、王大户村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0.03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公顷、丁岗堡村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0.31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公顷。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5、产业发展规划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结合四个村庄资源特色，打破村庄孤立发展局面，统筹四个村庄的定位和主题，引导村庄错位发展，让游客感受不同的景观和体验，使四个村产业互补，跨村协同发展。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结合四个村庄地理位置，</w:t>
      </w:r>
      <w:bookmarkStart w:id="1" w:name="_Toc22517"/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规划提出“一带三区，一芯多节点”的产业空间发展格局。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一带：依托川口河河谷流域耕地及滨水资源，引导建设农旅产业综合示范带。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三区：结合现状资源特色及产业布局打造传统农业种植区、生态林地养生区和产业综合服务区三大功能区，依托各区产业定位及合理规划产业发展节点。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一芯：四村中部甘海村内，建设产业服务中心，为农产品在地加工、产业链延伸做好配套。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多节点：依托四村内资源条件，构筑产业联动轴，促进资源高效利用。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6、历史文化保护利用及传承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本次连片规划的四个村庄中，共涉及2处文物保护单位，其中1处为省级文物保护单位圪垯梁遗址，位于罗山村天喜湾组；1处为县级文物保护单位王大户墓地，位于王大户村王大户组。非物质文化遗产主要以秦腔和窑洞营造技艺为主，在罗山村、甘海村、王大户村、丁岗堡村均有涉及。历史环境要素有古树、古地道等。其中有古柏树1棵，树龄为一千多年，位于王大户村王大户组；有古地道1处，为同治年前修建，位于王大户村王大户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7、用途管制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（1）耕地与永久基本农田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任何单位和个人不得擅自占用或改变用途。村民不得随意占用耕地，确需占用的，应经村民小组确认，村委会审查同意出具书面意见后，由镇政府按程序办理相关报批手续。未经批准，不得在园地、林地及其他农用地进行非农建设活动，不得进行毁林开垦、采石、挖沙、采矿、取土等活动。本村内划定的设施农用地应按规定要求兴建设施和使用土地，不得擅自或变相将设施农用地用于其他非农建设，并采取措施防止对土壤耕作层破坏和污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（2）生态保护管控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禁止在红线范围内从事不符合国家规定的活动。严格保护村内林地、湿地、陆地水域、其他自然保留地等生态用地，不得进行破坏生态景观、污染环境的开发建设活动，做到慎砍树、禁挖山、不填湖。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（3）建设空间管制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现状村内零星的建设用地建议通过土地整理、宅基地置换等方式逐渐向村庄建设边界内集中。规划村庄建设用地应按照以下规则进行村庄建设用地空间管制。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农村住宅：规划新申请的宅基地，应在划定的宅基地范围内，优先利用村内空闲地、闲置宅基地和未利用地。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根据《宁夏回族自治区土地管理条例》（2022年修订版）要求，新建住宅的宅基地面积（包括附属用房、庭院用地）使用水浇地的，每户不得超过270㎡；使用平川旱作耕地的，每户不得超过400㎡；使用山坡地的，每户不得超过540㎡。住房应体现地方特色，符合村庄整体景观风貌控制性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在路边新建农房时，距县道不少于10米，距乡道不少于5米，距村主要道路不少于3米；沿山体周边建设时，不得新增削坡建房，距山体护坡沿不少于6米；沿河溪建房时，距河溪边沿不少于15米。因道路退缩造成原有宅基地无法建房的，由镇、村另行规划村民集中建房用地，确保新农村建设健康有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产业发展：经营性建设用地建筑密度需控制在70%以下，建筑高度不超过18米（若该经营性建设用地靠近文保单位，则限高需按文物保护相关控制要求进行调整），容积率不超过2.0。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经营性建设用地调整应经村民小组确认，由村委会审查同意，逐级报村庄规划原审批机关批准。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基础设施和公共服务设施：不得占用交通用地建房，在村内主要道路两侧建房应后退3米。村内供水、污水处理设施以及房屋排水接口需经村委会确认后再进行建设。村民不得随意占用垃圾收集点、公厕、污水处理设施等基础设施用地及综合服务站、基层综合性文化服务中心、卫生室、养老和教育等公共服务设施用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弹性管控：对规划期内确定使用，但暂时无法明确具体规划用途的建设用地，采取留白方式处理，暂不确定具体规划用地性质，为未来的布局优化、项目落地预留空间。后续使用留白用地，应符合国家和自治区相关规定要求。暂时无法明确具体地块及规模边界的项目，在用地规划图中采用点位预制的方法，表达项目的类别和意向性位置，并纳入项目清单管理，后续可根据项目建设需要再确定具体边界、规模和相应的规划管控要求。在不突破规划建设用地规模、不占用永久基本农</w:t>
      </w:r>
      <w:bookmarkStart w:id="2" w:name="_GoBack"/>
      <w:bookmarkEnd w:id="2"/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田和生态保护红线的前提下，村庄规划中预留一定比例的建设用地。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46C886"/>
    <w:multiLevelType w:val="singleLevel"/>
    <w:tmpl w:val="A146C886"/>
    <w:lvl w:ilvl="0" w:tentative="0">
      <w:start w:val="1"/>
      <w:numFmt w:val="decimal"/>
      <w:pStyle w:val="4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E438E90E"/>
    <w:multiLevelType w:val="multilevel"/>
    <w:tmpl w:val="E438E90E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23EF4573"/>
    <w:multiLevelType w:val="multilevel"/>
    <w:tmpl w:val="23EF4573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5" w:leftChars="0" w:hanging="425" w:firstLineChars="0"/>
      </w:pPr>
      <w:rPr>
        <w:rFonts w:hint="default" w:ascii="宋体" w:hAnsi="宋体" w:eastAsia="宋体" w:cs="宋体"/>
      </w:rPr>
    </w:lvl>
    <w:lvl w:ilvl="1" w:tentative="0">
      <w:start w:val="1"/>
      <w:numFmt w:val="none"/>
      <w:pStyle w:val="3"/>
      <w:lvlText w:val="(%1)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%3)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宋体" w:hAnsi="宋体" w:eastAsia="宋体" w:cs="宋体"/>
      </w:rPr>
    </w:lvl>
    <w:lvl w:ilvl="3" w:tentative="0">
      <w:start w:val="1"/>
      <w:numFmt w:val="lowerLetter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宋体" w:hAnsi="宋体" w:eastAsia="宋体" w:cs="宋体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宋体" w:hAnsi="宋体" w:eastAsia="宋体" w:cs="宋体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宋体" w:hAnsi="宋体" w:eastAsia="宋体" w:cs="宋体"/>
      </w:rPr>
    </w:lvl>
    <w:lvl w:ilvl="6" w:tentative="0">
      <w:start w:val="1"/>
      <w:numFmt w:val="lowerRoman"/>
      <w:lvlText w:val="%7)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宋体" w:hAnsi="宋体" w:eastAsia="宋体" w:cs="宋体"/>
      </w:rPr>
    </w:lvl>
    <w:lvl w:ilvl="7" w:tentative="0">
      <w:start w:val="1"/>
      <w:numFmt w:val="lowerLetter"/>
      <w:lvlText w:val="%8.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宋体" w:hAnsi="宋体" w:eastAsia="宋体" w:cs="宋体"/>
      </w:rPr>
    </w:lvl>
    <w:lvl w:ilvl="8" w:tentative="0">
      <w:start w:val="1"/>
      <w:numFmt w:val="lowerLetter"/>
      <w:lvlText w:val="%9)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宋体" w:hAnsi="宋体" w:eastAsia="宋体" w:cs="宋体"/>
      </w:rPr>
    </w:lvl>
  </w:abstractNum>
  <w:abstractNum w:abstractNumId="3">
    <w:nsid w:val="28DFF3E3"/>
    <w:multiLevelType w:val="singleLevel"/>
    <w:tmpl w:val="28DFF3E3"/>
    <w:lvl w:ilvl="0" w:tentative="0">
      <w:start w:val="1"/>
      <w:numFmt w:val="decimal"/>
      <w:pStyle w:val="2"/>
      <w:suff w:val="nothing"/>
      <w:lvlText w:val="%1．"/>
      <w:lvlJc w:val="left"/>
      <w:pPr>
        <w:ind w:left="0" w:firstLine="400"/>
      </w:pPr>
      <w:rPr>
        <w:rFonts w:hint="default"/>
        <w:b/>
        <w:bCs/>
      </w:rPr>
    </w:lvl>
  </w:abstractNum>
  <w:abstractNum w:abstractNumId="4">
    <w:nsid w:val="58654B64"/>
    <w:multiLevelType w:val="singleLevel"/>
    <w:tmpl w:val="58654B64"/>
    <w:lvl w:ilvl="0" w:tentative="0">
      <w:start w:val="1"/>
      <w:numFmt w:val="decimal"/>
      <w:pStyle w:val="5"/>
      <w:lvlText w:val="(%1)"/>
      <w:lvlJc w:val="left"/>
      <w:pPr>
        <w:tabs>
          <w:tab w:val="left" w:pos="0"/>
        </w:tabs>
        <w:ind w:left="0" w:leftChars="0" w:firstLine="0" w:firstLineChars="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xMjQwMzI1MTZjZTY5Mjk5Y2IwMTZkODRlMmVjM2UifQ=="/>
  </w:docVars>
  <w:rsids>
    <w:rsidRoot w:val="030F48BA"/>
    <w:rsid w:val="030F48BA"/>
    <w:rsid w:val="0E0E6405"/>
    <w:rsid w:val="0FBD5762"/>
    <w:rsid w:val="11F25176"/>
    <w:rsid w:val="19752203"/>
    <w:rsid w:val="1DA34073"/>
    <w:rsid w:val="27D53962"/>
    <w:rsid w:val="32C41E73"/>
    <w:rsid w:val="35920ADE"/>
    <w:rsid w:val="365E4AAD"/>
    <w:rsid w:val="3BAB2D63"/>
    <w:rsid w:val="3D9218EF"/>
    <w:rsid w:val="3EC66E2E"/>
    <w:rsid w:val="3F244204"/>
    <w:rsid w:val="46F12261"/>
    <w:rsid w:val="49193DBE"/>
    <w:rsid w:val="4E272F2C"/>
    <w:rsid w:val="50D9724D"/>
    <w:rsid w:val="51C72BFC"/>
    <w:rsid w:val="57610906"/>
    <w:rsid w:val="5E800492"/>
    <w:rsid w:val="60794A1B"/>
    <w:rsid w:val="6AE93DF6"/>
    <w:rsid w:val="74C16DC5"/>
    <w:rsid w:val="78C623FF"/>
    <w:rsid w:val="78E36255"/>
    <w:rsid w:val="79231D4F"/>
    <w:rsid w:val="7B2716A4"/>
    <w:rsid w:val="7BE62314"/>
    <w:rsid w:val="7D43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napToGrid w:val="0"/>
      <w:spacing w:before="50" w:beforeLines="50" w:beforeAutospacing="0" w:afterAutospacing="0" w:line="360" w:lineRule="auto"/>
      <w:ind w:firstLine="0" w:firstLineChars="0"/>
      <w:outlineLvl w:val="0"/>
    </w:pPr>
    <w:rPr>
      <w:rFonts w:ascii="宋体" w:hAnsi="宋体" w:eastAsia="宋体" w:cs="宋体"/>
      <w:b/>
      <w:color w:val="000000" w:themeColor="text1"/>
      <w:kern w:val="44"/>
      <w:sz w:val="28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2"/>
      </w:numPr>
      <w:tabs>
        <w:tab w:val="left" w:pos="420"/>
        <w:tab w:val="clear" w:pos="840"/>
      </w:tabs>
      <w:adjustRightInd w:val="0"/>
      <w:spacing w:before="50" w:beforeLines="50" w:line="360" w:lineRule="auto"/>
      <w:ind w:left="0" w:firstLine="0" w:firstLineChars="200"/>
      <w:outlineLvl w:val="1"/>
    </w:pPr>
    <w:rPr>
      <w:rFonts w:ascii="宋体" w:hAnsi="宋体" w:eastAsia="宋体" w:cs="宋体"/>
      <w:b/>
      <w:bCs/>
      <w:color w:val="000000" w:themeColor="text1"/>
      <w:sz w:val="24"/>
      <w:szCs w:val="32"/>
      <w14:textFill>
        <w14:solidFill>
          <w14:schemeClr w14:val="tx1"/>
        </w14:solidFill>
      </w14:textFill>
    </w:rPr>
  </w:style>
  <w:style w:type="paragraph" w:styleId="4">
    <w:name w:val="heading 3"/>
    <w:basedOn w:val="3"/>
    <w:next w:val="1"/>
    <w:link w:val="13"/>
    <w:semiHidden/>
    <w:unhideWhenUsed/>
    <w:qFormat/>
    <w:uiPriority w:val="0"/>
    <w:pPr>
      <w:keepNext/>
      <w:keepLines/>
      <w:numPr>
        <w:ilvl w:val="0"/>
        <w:numId w:val="3"/>
      </w:numPr>
      <w:tabs>
        <w:tab w:val="left" w:pos="0"/>
        <w:tab w:val="clear" w:pos="420"/>
      </w:tabs>
      <w:adjustRightInd w:val="0"/>
      <w:spacing w:beforeAutospacing="0" w:afterLines="0" w:afterAutospacing="0" w:line="360" w:lineRule="auto"/>
      <w:ind w:left="0" w:firstLine="480" w:firstLineChars="200"/>
      <w:outlineLvl w:val="2"/>
    </w:p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0"/>
        <w:numId w:val="4"/>
      </w:numPr>
      <w:spacing w:beforeLines="0" w:beforeAutospacing="0" w:afterLines="0" w:afterAutospacing="0" w:line="360" w:lineRule="auto"/>
      <w:ind w:firstLine="480" w:firstLineChars="200"/>
      <w:outlineLvl w:val="3"/>
    </w:pPr>
    <w:rPr>
      <w:rFonts w:ascii="宋体" w:hAnsi="宋体" w:eastAsia="宋体"/>
      <w:color w:val="000000" w:themeColor="text1"/>
      <w:sz w:val="24"/>
      <w14:textFill>
        <w14:solidFill>
          <w14:schemeClr w14:val="tx1"/>
        </w14:solidFill>
      </w14:textFill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5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5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5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5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5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3 Char"/>
    <w:link w:val="4"/>
    <w:qFormat/>
    <w:uiPriority w:val="0"/>
    <w:rPr>
      <w:rFonts w:ascii="宋体" w:hAnsi="宋体" w:eastAsia="宋体"/>
      <w:b/>
      <w:color w:val="000000" w:themeColor="text1"/>
      <w:sz w:val="24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2023-10-08T08:47:00Z</dcterms:created>
  <dc:creator> 猫</dc:creator>
  <cp:lastModifiedBy>彭阳局信息员</cp:lastModifiedBy>
  <dcterms:modified xsi:type="dcterms:W3CDTF">2023-11-12T10:00:29Z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6CE504017EE04ADE845DBB7F9F1D398B_11</vt:lpwstr>
  </property>
</Properties>
</file>