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ind w:left="0" w:leftChars="0" w:firstLine="0" w:firstLineChars="0"/>
        <w:jc w:val="center"/>
        <w:rPr>
          <w:rFonts w:hint="eastAsia" w:ascii="方正小标宋_GBK" w:hAnsi="方正小标宋_GBK" w:eastAsia="方正小标宋_GBK" w:cs="方正小标宋_GBK"/>
          <w:sz w:val="44"/>
          <w:szCs w:val="40"/>
          <w:lang w:val="en-US" w:eastAsia="zh-CN"/>
        </w:rPr>
      </w:pPr>
      <w:bookmarkStart w:id="0" w:name="_Toc26985"/>
      <w:r>
        <w:rPr>
          <w:rFonts w:hint="eastAsia" w:ascii="方正小标宋_GBK" w:hAnsi="方正小标宋_GBK" w:eastAsia="方正小标宋_GBK" w:cs="方正小标宋_GBK"/>
          <w:sz w:val="44"/>
          <w:szCs w:val="40"/>
          <w:lang w:val="en-US" w:eastAsia="zh-CN"/>
        </w:rPr>
        <w:t>彭阳县红河镇夏塬村</w:t>
      </w:r>
    </w:p>
    <w:p>
      <w:pPr>
        <w:pStyle w:val="8"/>
        <w:bidi w:val="0"/>
        <w:ind w:left="0" w:leftChars="0" w:firstLine="0" w:firstLineChars="0"/>
        <w:jc w:val="center"/>
        <w:rPr>
          <w:rFonts w:hint="eastAsia" w:ascii="方正小标宋_GBK" w:hAnsi="方正小标宋_GBK" w:eastAsia="方正小标宋_GBK" w:cs="方正小标宋_GBK"/>
          <w:sz w:val="44"/>
          <w:szCs w:val="40"/>
          <w:lang w:val="en-US" w:eastAsia="zh-CN"/>
        </w:rPr>
      </w:pPr>
      <w:r>
        <w:rPr>
          <w:rFonts w:hint="eastAsia" w:ascii="方正小标宋_GBK" w:hAnsi="方正小标宋_GBK" w:eastAsia="方正小标宋_GBK" w:cs="方正小标宋_GBK"/>
          <w:sz w:val="44"/>
          <w:szCs w:val="40"/>
          <w:lang w:val="en-US" w:eastAsia="zh-CN"/>
        </w:rPr>
        <w:t>村庄规划（2022-2035年）</w:t>
      </w:r>
      <w:bookmarkEnd w:id="0"/>
    </w:p>
    <w:p>
      <w:pPr>
        <w:pStyle w:val="8"/>
        <w:bidi w:val="0"/>
        <w:ind w:left="0" w:leftChars="0" w:firstLine="0" w:firstLineChars="0"/>
        <w:jc w:val="center"/>
        <w:rPr>
          <w:rFonts w:hint="eastAsia" w:ascii="方正小标宋_GBK" w:hAnsi="方正小标宋_GBK" w:eastAsia="方正小标宋_GBK" w:cs="方正小标宋_GBK"/>
          <w:sz w:val="44"/>
          <w:szCs w:val="4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村庄发展类型</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本次规划结合红河镇夏塬村实际情况，参考村庄分类成果，具体分类如下：</w:t>
      </w:r>
    </w:p>
    <w:tbl>
      <w:tblPr>
        <w:tblStyle w:val="7"/>
        <w:tblW w:w="6558"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行政村</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队组名称</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2186" w:type="dxa"/>
            <w:vMerge w:val="restart"/>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夏塬村</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北塬队</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2186" w:type="dxa"/>
            <w:vMerge w:val="continue"/>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夏湾队</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186" w:type="dxa"/>
            <w:vMerge w:val="continue"/>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夏塬队</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186" w:type="dxa"/>
            <w:vMerge w:val="continue"/>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徐沟队</w:t>
            </w:r>
          </w:p>
        </w:tc>
        <w:tc>
          <w:tcPr>
            <w:tcW w:w="2186" w:type="dxa"/>
          </w:tcPr>
          <w:p>
            <w:pPr>
              <w:pStyle w:val="9"/>
              <w:keepNext w:val="0"/>
              <w:keepLines w:val="0"/>
              <w:pageBreakBefore w:val="0"/>
              <w:widowControl w:val="0"/>
              <w:kinsoku/>
              <w:wordWrap/>
              <w:overflowPunct/>
              <w:topLinePunct w:val="0"/>
              <w:autoSpaceDE/>
              <w:autoSpaceDN/>
              <w:bidi w:val="0"/>
              <w:adjustRightInd/>
              <w:snapToGrid/>
              <w:spacing w:line="36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整治改善类</w:t>
            </w:r>
          </w:p>
        </w:tc>
      </w:tr>
    </w:tbl>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规划范围</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lang w:val="en-US" w:eastAsia="zh-CN"/>
        </w:rPr>
      </w:pPr>
      <w:r>
        <w:rPr>
          <w:rFonts w:hint="eastAsia" w:ascii="仿宋_GB2312" w:hAnsi="仿宋_GB2312" w:eastAsia="仿宋_GB2312" w:cs="仿宋_GB2312"/>
          <w:lang w:val="en-US" w:eastAsia="zh-CN"/>
        </w:rPr>
        <w:t>本次实用性村庄规划范围为彭阳县红河镇夏塬村行政管理范围，村域总面积约为</w:t>
      </w:r>
      <w:r>
        <w:rPr>
          <w:rFonts w:hint="eastAsia" w:ascii="Times New Roman" w:hAnsi="Times New Roman"/>
          <w:lang w:val="en-US" w:eastAsia="zh-CN"/>
        </w:rPr>
        <w:t>1473.66</w:t>
      </w:r>
      <w:r>
        <w:rPr>
          <w:rFonts w:hint="eastAsia" w:ascii="仿宋_GB2312" w:hAnsi="仿宋_GB2312" w:eastAsia="仿宋_GB2312" w:cs="仿宋_GB2312"/>
          <w:lang w:val="en-US" w:eastAsia="zh-CN"/>
        </w:rPr>
        <w:t>公顷</w:t>
      </w:r>
      <w:r>
        <w:rPr>
          <w:rFonts w:hint="eastAsia" w:ascii="Times New Roman" w:hAnsi="Times New Roman"/>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规划期限</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lang w:val="en-US" w:eastAsia="zh-CN"/>
        </w:rPr>
      </w:pPr>
      <w:r>
        <w:rPr>
          <w:rFonts w:hint="eastAsia" w:ascii="仿宋_GB2312" w:hAnsi="仿宋_GB2312" w:eastAsia="仿宋_GB2312" w:cs="仿宋_GB2312"/>
          <w:lang w:val="en-US" w:eastAsia="zh-CN"/>
        </w:rPr>
        <w:t>本村庄规划期限为</w:t>
      </w:r>
      <w:r>
        <w:rPr>
          <w:rFonts w:hint="eastAsia" w:ascii="Times New Roman" w:hAnsi="Times New Roman"/>
          <w:lang w:val="en-US" w:eastAsia="zh-CN"/>
        </w:rPr>
        <w:t>2022</w:t>
      </w:r>
      <w:r>
        <w:rPr>
          <w:rFonts w:hint="eastAsia" w:ascii="仿宋_GB2312" w:hAnsi="仿宋_GB2312" w:eastAsia="仿宋_GB2312" w:cs="仿宋_GB2312"/>
          <w:lang w:val="en-US" w:eastAsia="zh-CN"/>
        </w:rPr>
        <w:t>年至</w:t>
      </w:r>
      <w:r>
        <w:rPr>
          <w:rFonts w:hint="eastAsia" w:ascii="Times New Roman" w:hAnsi="Times New Roman"/>
          <w:lang w:val="en-US" w:eastAsia="zh-CN"/>
        </w:rPr>
        <w:t>2035</w:t>
      </w:r>
      <w:r>
        <w:rPr>
          <w:rFonts w:hint="eastAsia" w:ascii="仿宋_GB2312" w:hAnsi="仿宋_GB2312" w:eastAsia="仿宋_GB2312" w:cs="仿宋_GB2312"/>
          <w:lang w:val="en-US" w:eastAsia="zh-CN"/>
        </w:rPr>
        <w:t>年。其中，近期为</w:t>
      </w:r>
      <w:r>
        <w:rPr>
          <w:rFonts w:hint="eastAsia" w:ascii="Times New Roman" w:hAnsi="Times New Roman"/>
          <w:lang w:val="en-US" w:eastAsia="zh-CN"/>
        </w:rPr>
        <w:t>2022-2025</w:t>
      </w:r>
      <w:r>
        <w:rPr>
          <w:rFonts w:hint="eastAsia" w:ascii="仿宋_GB2312" w:hAnsi="仿宋_GB2312" w:eastAsia="仿宋_GB2312" w:cs="仿宋_GB2312"/>
          <w:lang w:val="en-US" w:eastAsia="zh-CN"/>
        </w:rPr>
        <w:t>年</w:t>
      </w:r>
      <w:r>
        <w:rPr>
          <w:rFonts w:hint="eastAsia" w:ascii="Times New Roman" w:hAnsi="Times New Roman"/>
          <w:lang w:val="en-US" w:eastAsia="zh-CN"/>
        </w:rPr>
        <w:t>，</w:t>
      </w:r>
      <w:r>
        <w:rPr>
          <w:rFonts w:hint="eastAsia" w:ascii="仿宋_GB2312" w:hAnsi="仿宋_GB2312" w:eastAsia="仿宋_GB2312" w:cs="仿宋_GB2312"/>
          <w:lang w:val="en-US" w:eastAsia="zh-CN"/>
        </w:rPr>
        <w:t>远期为</w:t>
      </w:r>
      <w:r>
        <w:rPr>
          <w:rFonts w:hint="eastAsia" w:ascii="Times New Roman" w:hAnsi="Times New Roman"/>
          <w:lang w:val="en-US" w:eastAsia="zh-CN"/>
        </w:rPr>
        <w:t>2026-2035</w:t>
      </w:r>
      <w:r>
        <w:rPr>
          <w:rFonts w:hint="eastAsia" w:ascii="仿宋_GB2312" w:hAnsi="仿宋_GB2312" w:eastAsia="仿宋_GB2312" w:cs="仿宋_GB2312"/>
          <w:lang w:val="en-US" w:eastAsia="zh-CN"/>
        </w:rPr>
        <w:t>年。</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村庄发展定位</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bookmarkStart w:id="1" w:name="_GoBack"/>
      <w:bookmarkEnd w:id="1"/>
      <w:r>
        <w:rPr>
          <w:rFonts w:hint="default" w:ascii="仿宋_GB2312" w:hAnsi="仿宋_GB2312" w:eastAsia="仿宋_GB2312" w:cs="仿宋_GB2312"/>
          <w:lang w:val="en-US" w:eastAsia="zh-CN"/>
        </w:rPr>
        <w:t>根据</w:t>
      </w:r>
      <w:r>
        <w:rPr>
          <w:rFonts w:hint="eastAsia" w:ascii="仿宋_GB2312" w:hAnsi="仿宋_GB2312" w:eastAsia="仿宋_GB2312" w:cs="仿宋_GB2312"/>
          <w:lang w:val="en-US" w:eastAsia="zh-CN"/>
        </w:rPr>
        <w:t>夏塬</w:t>
      </w:r>
      <w:r>
        <w:rPr>
          <w:rFonts w:hint="default" w:ascii="仿宋_GB2312" w:hAnsi="仿宋_GB2312" w:eastAsia="仿宋_GB2312" w:cs="仿宋_GB2312"/>
          <w:lang w:val="en-US" w:eastAsia="zh-CN"/>
        </w:rPr>
        <w:t>村现状自然条件、区位条件、现状产业基础、区域产业布局及政策体</w:t>
      </w:r>
      <w:r>
        <w:rPr>
          <w:rFonts w:hint="eastAsia" w:ascii="仿宋_GB2312" w:hAnsi="仿宋_GB2312" w:eastAsia="仿宋_GB2312" w:cs="仿宋_GB2312"/>
          <w:lang w:val="en-US" w:eastAsia="zh-CN"/>
        </w:rPr>
        <w:t>系的配套情况，将夏塬村定位为以种植粮食作物为主的乡村振兴示范村。</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产业发展布局</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一</w:t>
      </w:r>
      <w:r>
        <w:rPr>
          <w:rFonts w:hint="eastAsia" w:ascii="仿宋_GB2312" w:hAnsi="仿宋_GB2312" w:eastAsia="仿宋_GB2312" w:cs="仿宋_GB2312"/>
          <w:lang w:val="en-US" w:eastAsia="zh-CN"/>
        </w:rPr>
        <w:t>园</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红河镇夏塬村高质量种植示范园</w:t>
      </w:r>
      <w:r>
        <w:rPr>
          <w:rFonts w:hint="default" w:ascii="仿宋_GB2312" w:hAnsi="仿宋_GB2312" w:eastAsia="仿宋_GB2312" w:cs="仿宋_GB2312"/>
          <w:lang w:val="en-US" w:eastAsia="zh-CN"/>
        </w:rPr>
        <w:t>。</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eastAsia" w:ascii="仿宋_GB2312" w:hAnsi="仿宋_GB2312" w:eastAsia="仿宋_GB2312" w:cs="仿宋_GB2312"/>
          <w:lang w:val="en-US" w:eastAsia="zh-CN"/>
        </w:rPr>
        <w:t>两</w:t>
      </w:r>
      <w:r>
        <w:rPr>
          <w:rFonts w:hint="default" w:ascii="仿宋_GB2312" w:hAnsi="仿宋_GB2312" w:eastAsia="仿宋_GB2312" w:cs="仿宋_GB2312"/>
          <w:lang w:val="en-US" w:eastAsia="zh-CN"/>
        </w:rPr>
        <w:t>区：</w:t>
      </w:r>
      <w:r>
        <w:rPr>
          <w:rFonts w:hint="eastAsia" w:ascii="仿宋_GB2312" w:hAnsi="仿宋_GB2312" w:eastAsia="仿宋_GB2312" w:cs="仿宋_GB2312"/>
          <w:lang w:val="en-US" w:eastAsia="zh-CN"/>
        </w:rPr>
        <w:t>粮食作物种植区、生态修复区</w:t>
      </w:r>
      <w:r>
        <w:rPr>
          <w:rFonts w:hint="default" w:ascii="仿宋_GB2312" w:hAnsi="仿宋_GB2312" w:eastAsia="仿宋_GB2312" w:cs="仿宋_GB231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村庄发展规模及指标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sz w:val="28"/>
          <w:szCs w:val="28"/>
          <w:lang w:val="en-US" w:eastAsia="zh-CN"/>
        </w:rPr>
      </w:pPr>
      <w:r>
        <w:rPr>
          <w:rFonts w:hint="default" w:ascii="仿宋_GB2312" w:hAnsi="仿宋_GB2312" w:eastAsia="仿宋_GB2312" w:cs="仿宋_GB2312"/>
          <w:kern w:val="2"/>
          <w:sz w:val="32"/>
          <w:szCs w:val="28"/>
          <w:lang w:val="en-US" w:eastAsia="zh-CN" w:bidi="ar-SA"/>
        </w:rPr>
        <w:t>人口规模：预测至规划期末（</w:t>
      </w:r>
      <w:r>
        <w:rPr>
          <w:rFonts w:hint="default" w:ascii="Times New Roman" w:hAnsi="Times New Roman" w:eastAsia="方正仿宋_GB2312" w:cstheme="minorBidi"/>
          <w:kern w:val="2"/>
          <w:sz w:val="32"/>
          <w:szCs w:val="28"/>
          <w:lang w:val="en-US" w:eastAsia="zh-CN" w:bidi="ar-SA"/>
        </w:rPr>
        <w:t>2035</w:t>
      </w:r>
      <w:r>
        <w:rPr>
          <w:rFonts w:hint="default" w:ascii="仿宋_GB2312" w:hAnsi="仿宋_GB2312" w:eastAsia="仿宋_GB2312" w:cs="仿宋_GB2312"/>
          <w:kern w:val="2"/>
          <w:sz w:val="32"/>
          <w:szCs w:val="28"/>
          <w:lang w:val="en-US" w:eastAsia="zh-CN" w:bidi="ar-SA"/>
        </w:rPr>
        <w:t>年），村域人口规模为</w:t>
      </w:r>
      <w:r>
        <w:rPr>
          <w:rFonts w:hint="eastAsia" w:ascii="Times New Roman" w:hAnsi="Times New Roman" w:eastAsia="方正仿宋_GB2312" w:cstheme="minorBidi"/>
          <w:kern w:val="2"/>
          <w:sz w:val="32"/>
          <w:szCs w:val="28"/>
          <w:lang w:val="en-US" w:eastAsia="zh-CN" w:bidi="ar-SA"/>
        </w:rPr>
        <w:t>349</w:t>
      </w:r>
      <w:r>
        <w:rPr>
          <w:rFonts w:hint="default" w:ascii="仿宋_GB2312" w:hAnsi="仿宋_GB2312" w:eastAsia="仿宋_GB2312" w:cs="仿宋_GB2312"/>
          <w:kern w:val="2"/>
          <w:sz w:val="32"/>
          <w:szCs w:val="28"/>
          <w:lang w:val="en-US" w:eastAsia="zh-CN" w:bidi="ar-SA"/>
        </w:rPr>
        <w:t>户</w:t>
      </w:r>
      <w:r>
        <w:rPr>
          <w:rFonts w:hint="eastAsia" w:ascii="Times New Roman" w:hAnsi="Times New Roman" w:eastAsia="方正仿宋_GB2312" w:cstheme="minorBidi"/>
          <w:kern w:val="2"/>
          <w:sz w:val="32"/>
          <w:szCs w:val="28"/>
          <w:lang w:val="en-US" w:eastAsia="zh-CN" w:bidi="ar-SA"/>
        </w:rPr>
        <w:t>1397</w:t>
      </w:r>
      <w:r>
        <w:rPr>
          <w:rFonts w:hint="default" w:ascii="仿宋_GB2312" w:hAnsi="仿宋_GB2312" w:eastAsia="仿宋_GB2312" w:cs="仿宋_GB2312"/>
          <w:kern w:val="2"/>
          <w:sz w:val="32"/>
          <w:szCs w:val="28"/>
          <w:lang w:val="en-US" w:eastAsia="zh-CN" w:bidi="ar-SA"/>
        </w:rPr>
        <w:t>人</w:t>
      </w:r>
      <w:r>
        <w:rPr>
          <w:rFonts w:hint="default" w:ascii="Times New Roman" w:hAnsi="Times New Roman" w:eastAsia="方正仿宋_GB2312" w:cstheme="minorBidi"/>
          <w:kern w:val="2"/>
          <w:sz w:val="32"/>
          <w:szCs w:val="28"/>
          <w:lang w:val="en-US" w:eastAsia="zh-CN" w:bidi="ar-SA"/>
        </w:rPr>
        <w:t>。</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default" w:ascii="仿宋_GB2312" w:hAnsi="仿宋_GB2312" w:eastAsia="仿宋_GB2312" w:cs="仿宋_GB2312"/>
          <w:lang w:val="en-US" w:eastAsia="zh-CN"/>
        </w:rPr>
        <w:t>用地规模：规划期末至</w:t>
      </w:r>
      <w:r>
        <w:rPr>
          <w:rFonts w:hint="default" w:ascii="Times New Roman" w:hAnsi="Times New Roman"/>
          <w:lang w:val="en-US" w:eastAsia="zh-CN"/>
        </w:rPr>
        <w:t>2035</w:t>
      </w:r>
      <w:r>
        <w:rPr>
          <w:rFonts w:hint="default" w:ascii="仿宋_GB2312" w:hAnsi="仿宋_GB2312" w:eastAsia="仿宋_GB2312" w:cs="仿宋_GB2312"/>
          <w:lang w:val="en-US" w:eastAsia="zh-CN"/>
        </w:rPr>
        <w:t>年，村庄建设用地规模控制在</w:t>
      </w:r>
      <w:r>
        <w:rPr>
          <w:rFonts w:hint="eastAsia" w:ascii="Times New Roman" w:hAnsi="Times New Roman"/>
          <w:lang w:val="en-US" w:eastAsia="zh-CN"/>
        </w:rPr>
        <w:t>56.29</w:t>
      </w:r>
      <w:r>
        <w:rPr>
          <w:rFonts w:hint="default" w:ascii="仿宋_GB2312" w:hAnsi="仿宋_GB2312" w:eastAsia="仿宋_GB2312" w:cs="仿宋_GB2312"/>
          <w:lang w:val="en-US" w:eastAsia="zh-CN"/>
        </w:rPr>
        <w:t>公顷，按照村庄户籍人口测算，村庄人均建设用地为</w:t>
      </w:r>
      <w:r>
        <w:rPr>
          <w:rFonts w:hint="eastAsia" w:ascii="Times New Roman" w:hAnsi="Times New Roman"/>
          <w:lang w:val="en-US" w:eastAsia="zh-CN"/>
        </w:rPr>
        <w:t>402.93</w:t>
      </w:r>
      <w:r>
        <w:rPr>
          <w:rFonts w:hint="default" w:ascii="仿宋_GB2312" w:hAnsi="仿宋_GB2312" w:eastAsia="仿宋_GB2312" w:cs="仿宋_GB2312"/>
          <w:lang w:val="en-US" w:eastAsia="zh-CN"/>
        </w:rPr>
        <w:t>平方米。</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村庄发展规模及指标</w:t>
      </w:r>
    </w:p>
    <w:tbl>
      <w:tblPr>
        <w:tblStyle w:val="6"/>
        <w:tblW w:w="84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874"/>
        <w:gridCol w:w="2811"/>
        <w:gridCol w:w="802"/>
        <w:gridCol w:w="1074"/>
        <w:gridCol w:w="1263"/>
        <w:gridCol w:w="1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 w:hRule="atLeast"/>
          <w:jc w:val="center"/>
        </w:trPr>
        <w:tc>
          <w:tcPr>
            <w:tcW w:w="450" w:type="dxa"/>
            <w:vMerge w:val="restart"/>
            <w:tcBorders>
              <w:top w:val="single" w:color="000000" w:sz="8" w:space="0"/>
              <w:left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序号</w:t>
            </w:r>
          </w:p>
        </w:tc>
        <w:tc>
          <w:tcPr>
            <w:tcW w:w="874" w:type="dxa"/>
            <w:vMerge w:val="restart"/>
            <w:tcBorders>
              <w:top w:val="single" w:color="000000" w:sz="8" w:space="0"/>
              <w:left w:val="nil"/>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类型</w:t>
            </w:r>
          </w:p>
        </w:tc>
        <w:tc>
          <w:tcPr>
            <w:tcW w:w="2811" w:type="dxa"/>
            <w:vMerge w:val="restart"/>
            <w:tcBorders>
              <w:top w:val="single" w:color="000000" w:sz="8" w:space="0"/>
              <w:left w:val="nil"/>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指标</w:t>
            </w:r>
          </w:p>
        </w:tc>
        <w:tc>
          <w:tcPr>
            <w:tcW w:w="802" w:type="dxa"/>
            <w:vMerge w:val="restart"/>
            <w:tcBorders>
              <w:top w:val="single" w:color="000000" w:sz="8" w:space="0"/>
              <w:left w:val="nil"/>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现状</w:t>
            </w:r>
          </w:p>
        </w:tc>
        <w:tc>
          <w:tcPr>
            <w:tcW w:w="2337" w:type="dxa"/>
            <w:gridSpan w:val="2"/>
            <w:tcBorders>
              <w:top w:val="single" w:color="000000" w:sz="8" w:space="0"/>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规划目标</w:t>
            </w:r>
          </w:p>
        </w:tc>
        <w:tc>
          <w:tcPr>
            <w:tcW w:w="1168" w:type="dxa"/>
            <w:vMerge w:val="restart"/>
            <w:tcBorders>
              <w:top w:val="single" w:color="000000" w:sz="8" w:space="0"/>
              <w:left w:val="nil"/>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vMerge w:val="continue"/>
            <w:tcBorders>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tc>
        <w:tc>
          <w:tcPr>
            <w:tcW w:w="874" w:type="dxa"/>
            <w:vMerge w:val="continue"/>
            <w:tcBorders>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vMerge w:val="continue"/>
            <w:tcBorders>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802" w:type="dxa"/>
            <w:vMerge w:val="continue"/>
            <w:tcBorders>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近期</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远期</w:t>
            </w:r>
          </w:p>
        </w:tc>
        <w:tc>
          <w:tcPr>
            <w:tcW w:w="1168" w:type="dxa"/>
            <w:vMerge w:val="continue"/>
            <w:tcBorders>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874" w:type="dxa"/>
            <w:vMerge w:val="restart"/>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村庄发展</w:t>
            </w: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常住人口（人）</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691</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736</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863</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户籍人口（人）</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1389</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1391</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1397</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村庄集体收入（万元）</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28</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人均可支配收入（元）</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14300</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28600</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37200</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w:t>
            </w:r>
          </w:p>
        </w:tc>
        <w:tc>
          <w:tcPr>
            <w:tcW w:w="874" w:type="dxa"/>
            <w:vMerge w:val="restart"/>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国土空间开发保护</w:t>
            </w: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耕地保有量（公顷）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533.79</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550.46</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550.46</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永久基本农田保护面积（公顷）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440.97</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440.97</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440.97</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生态保护红线面积（公顷）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198.46</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198.46</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198.46</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林地保有量（公顷）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765.82</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741.5</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741.5</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村庄建设边界面积（公顷）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42.65</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56.22</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56.22</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留白用地（公顷）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0.69</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0.69</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建设用地总规模（公顷）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42.72</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56.59</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56.59</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新增建设用地（公顷）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13.87</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13.87</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人均村庄建设用地（平方米/人）</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307.56</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406.83</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405.08</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公共服务设施用地规模（公顷）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1.15</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基础设施用地规模（公顷）</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0.15</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0.15</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0.15</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16</w:t>
            </w:r>
          </w:p>
        </w:tc>
        <w:tc>
          <w:tcPr>
            <w:tcW w:w="874" w:type="dxa"/>
            <w:vMerge w:val="restart"/>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人居环境</w:t>
            </w: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农村生活垃圾集中处理率（%）</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60%</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80.00%</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100.00%</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村庄污水处理率（%）</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0.00%</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50.00%</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100.00%</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0" w:type="dxa"/>
            <w:tcBorders>
              <w:top w:val="nil"/>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18</w:t>
            </w:r>
          </w:p>
        </w:tc>
        <w:tc>
          <w:tcPr>
            <w:tcW w:w="874" w:type="dxa"/>
            <w:vMerge w:val="continue"/>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560" w:firstLineChars="200"/>
              <w:jc w:val="center"/>
              <w:textAlignment w:val="auto"/>
              <w:outlineLvl w:val="9"/>
              <w:rPr>
                <w:rFonts w:hint="eastAsia" w:ascii="仿宋_GB2312" w:hAnsi="仿宋_GB2312" w:eastAsia="仿宋_GB2312" w:cs="仿宋_GB2312"/>
                <w:sz w:val="28"/>
                <w:szCs w:val="24"/>
                <w:lang w:val="en-US" w:eastAsia="zh-CN"/>
              </w:rPr>
            </w:pPr>
          </w:p>
        </w:tc>
        <w:tc>
          <w:tcPr>
            <w:tcW w:w="2811"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1"/>
                <w:szCs w:val="21"/>
                <w:lang w:val="en-US" w:eastAsia="zh-CN"/>
              </w:rPr>
              <w:t>户用厕所普及率（%）</w:t>
            </w:r>
          </w:p>
        </w:tc>
        <w:tc>
          <w:tcPr>
            <w:tcW w:w="802"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60%</w:t>
            </w:r>
          </w:p>
        </w:tc>
        <w:tc>
          <w:tcPr>
            <w:tcW w:w="1074"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80%</w:t>
            </w:r>
          </w:p>
        </w:tc>
        <w:tc>
          <w:tcPr>
            <w:tcW w:w="1263"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100%</w:t>
            </w:r>
          </w:p>
        </w:tc>
        <w:tc>
          <w:tcPr>
            <w:tcW w:w="1168" w:type="dxa"/>
            <w:tcBorders>
              <w:top w:val="nil"/>
              <w:left w:val="nil"/>
              <w:bottom w:val="single" w:color="000000" w:sz="8" w:space="0"/>
              <w:right w:val="single" w:color="000000" w:sz="8"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textAlignment w:val="auto"/>
              <w:outlineLvl w:val="9"/>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1"/>
                <w:szCs w:val="21"/>
                <w:lang w:val="en-US" w:eastAsia="zh-CN"/>
              </w:rPr>
              <w:t>预期性</w:t>
            </w:r>
          </w:p>
        </w:tc>
      </w:tr>
    </w:tbl>
    <w:p>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outlineLvl w:val="9"/>
        <w:rPr>
          <w:rFonts w:hint="default"/>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生态保护</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default" w:ascii="仿宋_GB2312" w:hAnsi="仿宋_GB2312" w:eastAsia="仿宋_GB2312" w:cs="仿宋_GB2312"/>
          <w:lang w:val="en-US" w:eastAsia="zh-CN"/>
        </w:rPr>
        <w:t>（1）本村生态保护红线面积</w:t>
      </w:r>
      <w:r>
        <w:rPr>
          <w:rFonts w:hint="eastAsia" w:ascii="Times New Roman" w:hAnsi="Times New Roman"/>
          <w:lang w:val="en-US" w:eastAsia="zh-CN"/>
        </w:rPr>
        <w:t>198.46</w:t>
      </w:r>
      <w:r>
        <w:rPr>
          <w:rFonts w:hint="default" w:ascii="仿宋_GB2312" w:hAnsi="仿宋_GB2312" w:eastAsia="仿宋_GB2312" w:cs="仿宋_GB2312"/>
          <w:lang w:val="en-US" w:eastAsia="zh-CN"/>
        </w:rPr>
        <w:t>公顷。</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（2）保护村内林地、草地、水域等生态用地，不得进行破坏生态景观、污染环境的开发建设活动，做到慎砍树、禁挖山、不填湖。</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3</w:t>
      </w: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对村域范围内林地进行造林绿化</w:t>
      </w:r>
      <w:r>
        <w:rPr>
          <w:rFonts w:hint="eastAsia" w:ascii="Times New Roman" w:hAnsi="Times New Roman"/>
          <w:lang w:val="en-US" w:eastAsia="zh-CN"/>
        </w:rPr>
        <w:t>69.55</w:t>
      </w:r>
      <w:r>
        <w:rPr>
          <w:rFonts w:hint="eastAsia" w:ascii="仿宋_GB2312" w:hAnsi="仿宋_GB2312" w:eastAsia="仿宋_GB2312" w:cs="仿宋_GB2312"/>
          <w:lang w:val="en-US" w:eastAsia="zh-CN"/>
        </w:rPr>
        <w:t>公顷</w:t>
      </w:r>
      <w:r>
        <w:rPr>
          <w:rFonts w:hint="eastAsia" w:ascii="Times New Roman" w:hAnsi="Times New Roman"/>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耕地和永久基本农田保护</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（1）本村内划定永久基本农田</w:t>
      </w:r>
      <w:r>
        <w:rPr>
          <w:rFonts w:hint="eastAsia" w:ascii="Times New Roman" w:hAnsi="Times New Roman"/>
          <w:lang w:val="en-US" w:eastAsia="zh-CN"/>
        </w:rPr>
        <w:t>440.97</w:t>
      </w:r>
      <w:r>
        <w:rPr>
          <w:rFonts w:hint="default" w:ascii="仿宋_GB2312" w:hAnsi="仿宋_GB2312" w:eastAsia="仿宋_GB2312" w:cs="仿宋_GB2312"/>
          <w:lang w:val="en-US" w:eastAsia="zh-CN"/>
        </w:rPr>
        <w:t>公顷，主要分布在各组周边连片耕地，其余零星分散在村域范围内，任何单位和个人不得擅自占用或改变用途。</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（2）规划至</w:t>
      </w:r>
      <w:r>
        <w:rPr>
          <w:rFonts w:hint="default" w:ascii="Times New Roman" w:hAnsi="Times New Roman"/>
          <w:lang w:val="en-US" w:eastAsia="zh-CN"/>
        </w:rPr>
        <w:t>2035</w:t>
      </w:r>
      <w:r>
        <w:rPr>
          <w:rFonts w:hint="default" w:ascii="仿宋_GB2312" w:hAnsi="仿宋_GB2312" w:eastAsia="仿宋_GB2312" w:cs="仿宋_GB2312"/>
          <w:lang w:val="en-US" w:eastAsia="zh-CN"/>
        </w:rPr>
        <w:t>年，本村耕地图斑面积不少于</w:t>
      </w:r>
      <w:r>
        <w:rPr>
          <w:rFonts w:hint="eastAsia" w:ascii="Times New Roman" w:hAnsi="Times New Roman"/>
          <w:lang w:val="en-US" w:eastAsia="zh-CN"/>
        </w:rPr>
        <w:t>550.46</w:t>
      </w:r>
      <w:r>
        <w:rPr>
          <w:rFonts w:hint="default" w:ascii="仿宋_GB2312" w:hAnsi="仿宋_GB2312" w:eastAsia="仿宋_GB2312" w:cs="仿宋_GB2312"/>
          <w:lang w:val="en-US" w:eastAsia="zh-CN"/>
        </w:rPr>
        <w:t>公顷，不得随意占用耕地。确需占用的，应经村民小组确认，村委会审查同意出具书面意见后，由镇政府按程序办理相关报批手续。</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（3）未经批准，不得在园地、商品林及其他农用地进行非农建设活动，不得进行毁林开垦、采石、挖沙、采矿、取土等活动。</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建设空间管制</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default" w:ascii="仿宋_GB2312" w:hAnsi="仿宋_GB2312" w:eastAsia="仿宋_GB2312" w:cs="仿宋_GB2312"/>
          <w:lang w:val="en-US" w:eastAsia="zh-CN"/>
        </w:rPr>
        <w:t>本村内村庄建设用地规模为</w:t>
      </w:r>
      <w:r>
        <w:rPr>
          <w:rFonts w:hint="eastAsia" w:ascii="Times New Roman" w:hAnsi="Times New Roman"/>
          <w:lang w:val="en-US" w:eastAsia="zh-CN"/>
        </w:rPr>
        <w:t>56.59</w:t>
      </w:r>
      <w:r>
        <w:rPr>
          <w:rFonts w:hint="default" w:ascii="仿宋_GB2312" w:hAnsi="仿宋_GB2312" w:eastAsia="仿宋_GB2312" w:cs="仿宋_GB2312"/>
          <w:lang w:val="en-US" w:eastAsia="zh-CN"/>
        </w:rPr>
        <w:t>公顷，为适度提高村庄规划的灵活性，保障零星分散的村民居住、农村公共公益设施、农村乡村文旅设施及农村新产业新业态用地需求，规划预留</w:t>
      </w:r>
      <w:r>
        <w:rPr>
          <w:rFonts w:hint="eastAsia" w:ascii="仿宋_GB2312" w:hAnsi="仿宋_GB2312" w:eastAsia="仿宋_GB2312" w:cs="仿宋_GB2312"/>
          <w:lang w:val="en-US" w:eastAsia="zh-CN"/>
        </w:rPr>
        <w:t>留白用地</w:t>
      </w:r>
      <w:r>
        <w:rPr>
          <w:rFonts w:hint="eastAsia" w:ascii="Times New Roman" w:hAnsi="Times New Roman"/>
          <w:lang w:val="en-US" w:eastAsia="zh-CN"/>
        </w:rPr>
        <w:t>0.69</w:t>
      </w:r>
      <w:r>
        <w:rPr>
          <w:rFonts w:hint="default" w:ascii="仿宋_GB2312" w:hAnsi="仿宋_GB2312" w:eastAsia="仿宋_GB2312" w:cs="仿宋_GB2312"/>
          <w:lang w:val="en-US" w:eastAsia="zh-CN"/>
        </w:rPr>
        <w:t>公顷。</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default" w:ascii="仿宋_GB2312" w:hAnsi="仿宋_GB2312" w:eastAsia="仿宋_GB2312" w:cs="仿宋_GB2312"/>
          <w:lang w:val="en-US" w:eastAsia="zh-CN"/>
        </w:rPr>
        <w:t>（</w:t>
      </w:r>
      <w:r>
        <w:rPr>
          <w:rFonts w:hint="eastAsia" w:ascii="仿宋_GB2312" w:hAnsi="仿宋_GB2312" w:eastAsia="仿宋_GB2312" w:cs="仿宋_GB2312"/>
          <w:lang w:val="en-US" w:eastAsia="zh-CN"/>
        </w:rPr>
        <w:t>1</w:t>
      </w:r>
      <w:r>
        <w:rPr>
          <w:rFonts w:hint="default" w:ascii="仿宋_GB2312" w:hAnsi="仿宋_GB2312" w:eastAsia="仿宋_GB2312" w:cs="仿宋_GB2312"/>
          <w:lang w:val="en-US" w:eastAsia="zh-CN"/>
        </w:rPr>
        <w:t>）农村住房</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本村内划定宅基地</w:t>
      </w:r>
      <w:r>
        <w:rPr>
          <w:rFonts w:hint="eastAsia" w:ascii="Times New Roman" w:hAnsi="Times New Roman"/>
          <w:lang w:val="en-US" w:eastAsia="zh-CN"/>
        </w:rPr>
        <w:t>37.09</w:t>
      </w:r>
      <w:r>
        <w:rPr>
          <w:rFonts w:hint="default" w:ascii="仿宋_GB2312" w:hAnsi="仿宋_GB2312" w:eastAsia="仿宋_GB2312" w:cs="仿宋_GB2312"/>
          <w:lang w:val="en-US" w:eastAsia="zh-CN"/>
        </w:rPr>
        <w:t>公顷，严格执行“一户一宅”制度，新增宅基地每户建筑基底面积控制在</w:t>
      </w:r>
      <w:r>
        <w:rPr>
          <w:rFonts w:hint="eastAsia" w:ascii="Times New Roman" w:hAnsi="Times New Roman"/>
          <w:lang w:val="en-US" w:eastAsia="zh-CN"/>
        </w:rPr>
        <w:t>400</w:t>
      </w:r>
      <w:r>
        <w:rPr>
          <w:rFonts w:hint="default" w:ascii="仿宋_GB2312" w:hAnsi="仿宋_GB2312" w:eastAsia="仿宋_GB2312" w:cs="仿宋_GB2312"/>
          <w:lang w:val="en-US" w:eastAsia="zh-CN"/>
        </w:rPr>
        <w:t>平方米以内，层数不高于</w:t>
      </w:r>
      <w:r>
        <w:rPr>
          <w:rFonts w:hint="default" w:ascii="Times New Roman" w:hAnsi="Times New Roman"/>
          <w:lang w:val="en-US" w:eastAsia="zh-CN"/>
        </w:rPr>
        <w:t>3</w:t>
      </w:r>
      <w:r>
        <w:rPr>
          <w:rFonts w:hint="default" w:ascii="仿宋_GB2312" w:hAnsi="仿宋_GB2312" w:eastAsia="仿宋_GB2312" w:cs="仿宋_GB2312"/>
          <w:lang w:val="en-US" w:eastAsia="zh-CN"/>
        </w:rPr>
        <w:t>层，建筑高度不大于</w:t>
      </w:r>
      <w:r>
        <w:rPr>
          <w:rFonts w:hint="default" w:ascii="Times New Roman" w:hAnsi="Times New Roman"/>
          <w:lang w:val="en-US" w:eastAsia="zh-CN"/>
        </w:rPr>
        <w:t>9.9</w:t>
      </w:r>
      <w:r>
        <w:rPr>
          <w:rFonts w:hint="default" w:ascii="仿宋_GB2312" w:hAnsi="仿宋_GB2312" w:eastAsia="仿宋_GB2312" w:cs="仿宋_GB2312"/>
          <w:lang w:val="en-US" w:eastAsia="zh-CN"/>
        </w:rPr>
        <w:t>米，在建筑形式、材料、布局上融合地方民族特色或历史文化进行设计，使其与整体村落风貌相协调，并鼓励创新使用新材料和新技术，色彩和质感与整体村庄农房风貌一致。新申请的宅基地，应在划定的宅基地建设范围内，且优先利用村内空闲地、闲置宅基地和未利用地。</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基础设施</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道路交通规划：</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重点修缮夏塬组至北塬组的破损路段，硬化夏塬组至夏湾组、徐沟组的未硬化主路，完善修补由夏塬组至城阳村方向主要道路及连接居民点道路，改善道路两侧环境。</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规划对村庄室外公共环境实施亮化工程，提高村民生活环境质量，补充村内路灯</w:t>
      </w:r>
      <w:r>
        <w:rPr>
          <w:rFonts w:hint="eastAsia" w:ascii="Times New Roman" w:hAnsi="Times New Roman"/>
          <w:lang w:val="en-US" w:eastAsia="zh-CN"/>
        </w:rPr>
        <w:t>150</w:t>
      </w:r>
      <w:r>
        <w:rPr>
          <w:rFonts w:hint="eastAsia" w:ascii="仿宋_GB2312" w:hAnsi="仿宋_GB2312" w:eastAsia="仿宋_GB2312" w:cs="仿宋_GB2312"/>
          <w:lang w:val="en-US" w:eastAsia="zh-CN"/>
        </w:rPr>
        <w:t>盏。结合夏塬村的路面情况，补充完善各类交通安全设施，在主路通过集中庄点时，设置限速、注意行人标志等标志，并设置减速带；在支路路面较窄，急弯处，设置视线诱导设施。</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规划建设</w:t>
      </w:r>
      <w:r>
        <w:rPr>
          <w:rFonts w:hint="eastAsia" w:ascii="Times New Roman" w:hAnsi="Times New Roman"/>
          <w:lang w:val="en-US" w:eastAsia="zh-CN"/>
        </w:rPr>
        <w:t>1</w:t>
      </w:r>
      <w:r>
        <w:rPr>
          <w:rFonts w:hint="eastAsia" w:ascii="仿宋_GB2312" w:hAnsi="仿宋_GB2312" w:eastAsia="仿宋_GB2312" w:cs="仿宋_GB2312"/>
          <w:lang w:val="en-US" w:eastAsia="zh-CN"/>
        </w:rPr>
        <w:t>处停车场地，位于村委会东南侧，占地面积约</w:t>
      </w:r>
      <w:r>
        <w:rPr>
          <w:rFonts w:hint="eastAsia" w:ascii="Times New Roman" w:hAnsi="Times New Roman"/>
          <w:lang w:val="en-US" w:eastAsia="zh-CN"/>
        </w:rPr>
        <w:t>0.08</w:t>
      </w:r>
      <w:r>
        <w:rPr>
          <w:rFonts w:hint="eastAsia" w:ascii="仿宋_GB2312" w:hAnsi="仿宋_GB2312" w:eastAsia="仿宋_GB2312" w:cs="仿宋_GB2312"/>
          <w:lang w:val="en-US" w:eastAsia="zh-CN"/>
        </w:rPr>
        <w:t>公顷，可作为村民日常停车及访客停车场地。</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给水设施规划：</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eastAsia" w:ascii="仿宋_GB2312" w:hAnsi="仿宋_GB2312" w:eastAsia="仿宋_GB2312" w:cs="仿宋_GB2312"/>
          <w:lang w:val="en-US" w:eastAsia="zh-CN"/>
        </w:rPr>
        <w:t>对新建集中居民点规划主管网</w:t>
      </w:r>
      <w:r>
        <w:rPr>
          <w:rFonts w:hint="eastAsia" w:ascii="Times New Roman" w:hAnsi="Times New Roman"/>
          <w:lang w:val="en-US" w:eastAsia="zh-CN"/>
        </w:rPr>
        <w:t>φ63PE900</w:t>
      </w:r>
      <w:r>
        <w:rPr>
          <w:rFonts w:hint="eastAsia" w:ascii="仿宋_GB2312" w:hAnsi="仿宋_GB2312" w:eastAsia="仿宋_GB2312" w:cs="仿宋_GB2312"/>
          <w:lang w:val="en-US" w:eastAsia="zh-CN"/>
        </w:rPr>
        <w:t>米，支管及入户管网根据后期房屋实际坐落位置进行施工；对其余居民点新增</w:t>
      </w:r>
      <w:r>
        <w:rPr>
          <w:rFonts w:hint="eastAsia" w:ascii="Times New Roman" w:hAnsi="Times New Roman"/>
          <w:lang w:val="en-US" w:eastAsia="zh-CN"/>
        </w:rPr>
        <w:t>1200</w:t>
      </w:r>
      <w:r>
        <w:rPr>
          <w:rFonts w:hint="eastAsia" w:ascii="仿宋_GB2312" w:hAnsi="仿宋_GB2312" w:eastAsia="仿宋_GB2312" w:cs="仿宋_GB2312"/>
          <w:lang w:val="en-US" w:eastAsia="zh-CN"/>
        </w:rPr>
        <w:t>米</w:t>
      </w:r>
      <w:r>
        <w:rPr>
          <w:rFonts w:hint="eastAsia" w:ascii="Times New Roman" w:hAnsi="Times New Roman"/>
          <w:lang w:val="en-US" w:eastAsia="zh-CN"/>
        </w:rPr>
        <w:t>φ50PE</w:t>
      </w:r>
      <w:r>
        <w:rPr>
          <w:rFonts w:hint="eastAsia" w:ascii="仿宋_GB2312" w:hAnsi="仿宋_GB2312" w:eastAsia="仿宋_GB2312" w:cs="仿宋_GB2312"/>
          <w:lang w:val="en-US" w:eastAsia="zh-CN"/>
        </w:rPr>
        <w:t>支管</w:t>
      </w:r>
      <w:r>
        <w:rPr>
          <w:rFonts w:hint="default" w:ascii="仿宋_GB2312" w:hAnsi="仿宋_GB2312" w:eastAsia="仿宋_GB2312" w:cs="仿宋_GB2312"/>
          <w:lang w:val="en-US" w:eastAsia="zh-CN"/>
        </w:rPr>
        <w:t>。</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排水设施规划：</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夏塬村</w:t>
      </w:r>
      <w:r>
        <w:rPr>
          <w:rFonts w:hint="default" w:ascii="仿宋_GB2312" w:hAnsi="仿宋_GB2312" w:eastAsia="仿宋_GB2312" w:cs="仿宋_GB2312"/>
          <w:lang w:val="en-US" w:eastAsia="zh-CN"/>
        </w:rPr>
        <w:t>现状居住规模小，布局分散，地形复杂，污水不易集中收集，且已进行改厕的部分居民也采用了单户式收集，因此规划采用单户式污水收集方式,一般污水量小于</w:t>
      </w:r>
      <w:r>
        <w:rPr>
          <w:rFonts w:hint="default" w:ascii="Times New Roman" w:hAnsi="Times New Roman"/>
          <w:lang w:val="en-US" w:eastAsia="zh-CN"/>
        </w:rPr>
        <w:t>1m³/d</w:t>
      </w:r>
      <w:r>
        <w:rPr>
          <w:rFonts w:hint="default" w:ascii="仿宋_GB2312" w:hAnsi="仿宋_GB2312" w:eastAsia="仿宋_GB2312" w:cs="仿宋_GB2312"/>
          <w:lang w:val="en-US" w:eastAsia="zh-CN"/>
        </w:rPr>
        <w:t>或服务人口</w:t>
      </w:r>
      <w:r>
        <w:rPr>
          <w:rFonts w:hint="default" w:ascii="Times New Roman" w:hAnsi="Times New Roman"/>
          <w:lang w:val="en-US" w:eastAsia="zh-CN"/>
        </w:rPr>
        <w:t>10</w:t>
      </w:r>
      <w:r>
        <w:rPr>
          <w:rFonts w:hint="default" w:ascii="仿宋_GB2312" w:hAnsi="仿宋_GB2312" w:eastAsia="仿宋_GB2312" w:cs="仿宋_GB2312"/>
          <w:lang w:val="en-US" w:eastAsia="zh-CN"/>
        </w:rPr>
        <w:t>人以下，服务家庭</w:t>
      </w:r>
      <w:r>
        <w:rPr>
          <w:rFonts w:hint="default" w:ascii="Times New Roman" w:hAnsi="Times New Roman"/>
          <w:lang w:val="en-US" w:eastAsia="zh-CN"/>
        </w:rPr>
        <w:t>1～2</w:t>
      </w:r>
      <w:r>
        <w:rPr>
          <w:rFonts w:hint="default" w:ascii="仿宋_GB2312" w:hAnsi="仿宋_GB2312" w:eastAsia="仿宋_GB2312" w:cs="仿宋_GB2312"/>
          <w:lang w:val="en-US" w:eastAsia="zh-CN"/>
        </w:rPr>
        <w:t>户。</w:t>
      </w:r>
      <w:r>
        <w:rPr>
          <w:rFonts w:hint="eastAsia" w:ascii="仿宋_GB2312" w:hAnsi="仿宋_GB2312" w:eastAsia="仿宋_GB2312" w:cs="仿宋_GB2312"/>
          <w:lang w:val="en-US" w:eastAsia="zh-CN"/>
        </w:rPr>
        <w:t>采用三格式化粪池收集。</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电力与通信设施规划：</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经调查现状供电满足村内生产生活要求，规划期内对不符合供电要求以及危及人身财产安全的配电变压器和线路设备等设施进行更新改造。</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供热规划：规划采用新型清洁能源如电采暖、太阳能采暖。</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环境卫生设施规划：</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Times New Roman" w:hAnsi="Times New Roman"/>
          <w:lang w:val="en-US" w:eastAsia="zh-CN"/>
        </w:rPr>
      </w:pPr>
      <w:r>
        <w:rPr>
          <w:rFonts w:hint="eastAsia" w:ascii="仿宋_GB2312" w:hAnsi="仿宋_GB2312" w:eastAsia="仿宋_GB2312" w:cs="仿宋_GB2312"/>
          <w:lang w:val="en-US" w:eastAsia="zh-CN"/>
        </w:rPr>
        <w:t>规划在村庄主路、支路及巷道结合农宅院落合理布置垃圾收集箱，主路及支路设置间距按照</w:t>
      </w:r>
      <w:r>
        <w:rPr>
          <w:rFonts w:hint="eastAsia" w:ascii="Times New Roman" w:hAnsi="Times New Roman"/>
          <w:lang w:val="en-US" w:eastAsia="zh-CN"/>
        </w:rPr>
        <w:t>300</w:t>
      </w:r>
      <w:r>
        <w:rPr>
          <w:rFonts w:hint="eastAsia" w:ascii="仿宋_GB2312" w:hAnsi="仿宋_GB2312" w:eastAsia="仿宋_GB2312" w:cs="仿宋_GB2312"/>
          <w:lang w:val="en-US" w:eastAsia="zh-CN"/>
        </w:rPr>
        <w:t>米/组进行配置；村庄巷道设置间距按照</w:t>
      </w:r>
      <w:r>
        <w:rPr>
          <w:rFonts w:hint="eastAsia" w:ascii="Times New Roman" w:hAnsi="Times New Roman"/>
          <w:lang w:val="en-US" w:eastAsia="zh-CN"/>
        </w:rPr>
        <w:t>30-50米</w:t>
      </w:r>
      <w:r>
        <w:rPr>
          <w:rFonts w:hint="eastAsia" w:ascii="仿宋_GB2312" w:hAnsi="仿宋_GB2312" w:eastAsia="仿宋_GB2312" w:cs="仿宋_GB2312"/>
          <w:lang w:val="en-US" w:eastAsia="zh-CN"/>
        </w:rPr>
        <w:t>进行布置，共规划新增</w:t>
      </w:r>
      <w:r>
        <w:rPr>
          <w:rFonts w:hint="eastAsia" w:ascii="Times New Roman" w:hAnsi="Times New Roman"/>
          <w:lang w:val="en-US" w:eastAsia="zh-CN"/>
        </w:rPr>
        <w:t>65</w:t>
      </w:r>
      <w:r>
        <w:rPr>
          <w:rFonts w:hint="eastAsia" w:ascii="仿宋_GB2312" w:hAnsi="仿宋_GB2312" w:eastAsia="仿宋_GB2312" w:cs="仿宋_GB2312"/>
          <w:lang w:val="en-US" w:eastAsia="zh-CN"/>
        </w:rPr>
        <w:t>个分类垃圾收集箱</w:t>
      </w:r>
      <w:r>
        <w:rPr>
          <w:rFonts w:hint="eastAsia" w:ascii="Times New Roman" w:hAnsi="Times New Roman"/>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公共服务设施</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教育设施：目前村内学龄儿童多于红河镇的红河镇中心小学就读，教学水平可满足村内适龄儿童的教育需求，本次规划暂不新增教育设施。</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医疗卫生设施：村部内设有卫生室，能够满足村民日常使用需求，规划不作调整。</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文化体育设施：目前夏塬村内有</w:t>
      </w:r>
      <w:r>
        <w:rPr>
          <w:rFonts w:hint="eastAsia" w:ascii="Times New Roman" w:hAnsi="Times New Roman"/>
          <w:lang w:val="en-US" w:eastAsia="zh-CN"/>
        </w:rPr>
        <w:t>1</w:t>
      </w:r>
      <w:r>
        <w:rPr>
          <w:rFonts w:hint="eastAsia" w:ascii="仿宋_GB2312" w:hAnsi="仿宋_GB2312" w:eastAsia="仿宋_GB2312" w:cs="仿宋_GB2312"/>
          <w:lang w:val="en-US" w:eastAsia="zh-CN"/>
        </w:rPr>
        <w:t>处广场及配套文化活动室、村史馆，可供居民日常文娱活动，本次规划对广场及文化活动室进行改造提升，增加各类配套设施。</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商业服务设施：夏塬村内有便民超市及邮政服务，且距离红河镇农贸市场较近，故此次不做商业服务设施的规划。</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社会福利设施：目前规划区域范围内暂无养老设施，现规划于规划区内原老年饭桌场地进行托老所改造，修改为养老设施用地一处。</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用地位置：位于现夏塬村村部东南侧。</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建筑面积：</w:t>
      </w:r>
      <w:r>
        <w:rPr>
          <w:rFonts w:hint="eastAsia" w:ascii="Times New Roman" w:hAnsi="Times New Roman"/>
          <w:lang w:val="en-US" w:eastAsia="zh-CN"/>
        </w:rPr>
        <w:t>180</w:t>
      </w:r>
      <w:r>
        <w:rPr>
          <w:rFonts w:hint="eastAsia" w:ascii="仿宋_GB2312" w:hAnsi="仿宋_GB2312" w:eastAsia="仿宋_GB2312" w:cs="仿宋_GB2312"/>
          <w:lang w:val="en-US" w:eastAsia="zh-CN"/>
        </w:rPr>
        <w:t>平米，外立面装饰结合当地建筑风格。</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lang w:val="en-US" w:eastAsia="zh-CN"/>
        </w:rPr>
      </w:pPr>
      <w:r>
        <w:rPr>
          <w:rFonts w:hint="eastAsia" w:ascii="仿宋_GB2312" w:hAnsi="仿宋_GB2312" w:eastAsia="仿宋_GB2312" w:cs="仿宋_GB2312"/>
          <w:lang w:val="en-US" w:eastAsia="zh-CN"/>
        </w:rPr>
        <w:t>建设标准：《宁夏回族自治区农村老饭桌管理办法》</w:t>
      </w:r>
      <w:r>
        <w:rPr>
          <w:rFonts w:hint="eastAsia" w:ascii="Times New Roman" w:hAnsi="Times New Roman"/>
          <w:lang w:val="en-US" w:eastAsia="zh-CN"/>
        </w:rPr>
        <w:t>2021</w:t>
      </w:r>
    </w:p>
    <w:p>
      <w:pPr>
        <w:pStyle w:val="9"/>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市政公用设施：规划区内现状通信线路不够完善，存在较强的信号干扰，规划在信号弱区域增设信号塔；对缺少照明的路段增设风光互补性太阳能灯，实施亮化工程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F63B4"/>
    <w:multiLevelType w:val="multilevel"/>
    <w:tmpl w:val="9DCF63B4"/>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3"/>
      <w:isLgl/>
      <w:lvlText w:val="%1.%2.%3."/>
      <w:lvlJc w:val="left"/>
      <w:pPr>
        <w:ind w:left="1091"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3420A2A1"/>
    <w:multiLevelType w:val="singleLevel"/>
    <w:tmpl w:val="3420A2A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000000"/>
    <w:rsid w:val="001D5FB4"/>
    <w:rsid w:val="014852B3"/>
    <w:rsid w:val="041B11B3"/>
    <w:rsid w:val="043F1D3E"/>
    <w:rsid w:val="049075AA"/>
    <w:rsid w:val="05854D29"/>
    <w:rsid w:val="06AE7966"/>
    <w:rsid w:val="0A1D552E"/>
    <w:rsid w:val="0AE12395"/>
    <w:rsid w:val="0CFD1647"/>
    <w:rsid w:val="0D755681"/>
    <w:rsid w:val="0D8A007A"/>
    <w:rsid w:val="10264A11"/>
    <w:rsid w:val="10B47313"/>
    <w:rsid w:val="128123D2"/>
    <w:rsid w:val="12922832"/>
    <w:rsid w:val="12A03076"/>
    <w:rsid w:val="12C549B5"/>
    <w:rsid w:val="136174EF"/>
    <w:rsid w:val="13BB26BA"/>
    <w:rsid w:val="143C4110"/>
    <w:rsid w:val="16302145"/>
    <w:rsid w:val="16F00564"/>
    <w:rsid w:val="17984446"/>
    <w:rsid w:val="1A0B54D4"/>
    <w:rsid w:val="1AE15231"/>
    <w:rsid w:val="1B0911B7"/>
    <w:rsid w:val="1D0B7468"/>
    <w:rsid w:val="1ED8781E"/>
    <w:rsid w:val="1FF468DA"/>
    <w:rsid w:val="24C06D8A"/>
    <w:rsid w:val="25770C51"/>
    <w:rsid w:val="25D074A1"/>
    <w:rsid w:val="27B0612E"/>
    <w:rsid w:val="27B70919"/>
    <w:rsid w:val="281C077C"/>
    <w:rsid w:val="2939535D"/>
    <w:rsid w:val="2B395AE8"/>
    <w:rsid w:val="31377FE5"/>
    <w:rsid w:val="3140197F"/>
    <w:rsid w:val="321D0FA6"/>
    <w:rsid w:val="33770F5C"/>
    <w:rsid w:val="349D7CE4"/>
    <w:rsid w:val="373F6235"/>
    <w:rsid w:val="37A807D1"/>
    <w:rsid w:val="3A6E199C"/>
    <w:rsid w:val="3DDB658B"/>
    <w:rsid w:val="3FDC1ACA"/>
    <w:rsid w:val="4581016F"/>
    <w:rsid w:val="45D43FEC"/>
    <w:rsid w:val="47541888"/>
    <w:rsid w:val="47AB4CCE"/>
    <w:rsid w:val="4A5751EC"/>
    <w:rsid w:val="4ADB5E1D"/>
    <w:rsid w:val="4B7C7600"/>
    <w:rsid w:val="4EC07803"/>
    <w:rsid w:val="52927709"/>
    <w:rsid w:val="539B439B"/>
    <w:rsid w:val="555667CB"/>
    <w:rsid w:val="58240E03"/>
    <w:rsid w:val="589D0BB5"/>
    <w:rsid w:val="5E5C5C71"/>
    <w:rsid w:val="5E5D0BCB"/>
    <w:rsid w:val="61856988"/>
    <w:rsid w:val="6192502F"/>
    <w:rsid w:val="622A129B"/>
    <w:rsid w:val="62946DCA"/>
    <w:rsid w:val="66960441"/>
    <w:rsid w:val="68B3476B"/>
    <w:rsid w:val="6B633598"/>
    <w:rsid w:val="6B7A32E4"/>
    <w:rsid w:val="6D78795B"/>
    <w:rsid w:val="6DB93944"/>
    <w:rsid w:val="6E1B7E27"/>
    <w:rsid w:val="6FEF189F"/>
    <w:rsid w:val="70321B18"/>
    <w:rsid w:val="7214383E"/>
    <w:rsid w:val="73317EAC"/>
    <w:rsid w:val="745919DD"/>
    <w:rsid w:val="78BA61D2"/>
    <w:rsid w:val="78F13F39"/>
    <w:rsid w:val="7949458C"/>
    <w:rsid w:val="79FC7092"/>
    <w:rsid w:val="7BE424D4"/>
    <w:rsid w:val="7D1D3EEF"/>
    <w:rsid w:val="7E1C5EB3"/>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numPr>
        <w:ilvl w:val="2"/>
        <w:numId w:val="1"/>
      </w:numPr>
      <w:spacing w:after="50" w:afterLines="50"/>
      <w:ind w:left="720" w:hanging="720" w:firstLineChars="0"/>
      <w:outlineLvl w:val="2"/>
    </w:pPr>
    <w:rPr>
      <w:b/>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caption"/>
    <w:basedOn w:val="1"/>
    <w:next w:val="1"/>
    <w:unhideWhenUsed/>
    <w:qFormat/>
    <w:uiPriority w:val="0"/>
    <w:rPr>
      <w:rFonts w:eastAsia="黑体" w:asciiTheme="majorHAnsi" w:hAnsiTheme="majorHAnsi" w:cstheme="majorBidi"/>
      <w:sz w:val="20"/>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公示正问"/>
    <w:basedOn w:val="1"/>
    <w:qFormat/>
    <w:uiPriority w:val="0"/>
    <w:pPr>
      <w:spacing w:line="560" w:lineRule="exact"/>
      <w:ind w:firstLine="880" w:firstLineChars="200"/>
    </w:pPr>
    <w:rPr>
      <w:rFonts w:ascii="Times New Roman" w:hAnsi="Times New Roman" w:eastAsia="方正仿宋_GB2312"/>
      <w:sz w:val="32"/>
      <w:szCs w:val="28"/>
    </w:rPr>
  </w:style>
  <w:style w:type="paragraph" w:customStyle="1" w:styleId="9">
    <w:name w:val="公示正文"/>
    <w:basedOn w:val="1"/>
    <w:qFormat/>
    <w:uiPriority w:val="0"/>
    <w:pPr>
      <w:spacing w:line="560" w:lineRule="exact"/>
      <w:ind w:firstLine="880" w:firstLineChars="200"/>
    </w:pPr>
    <w:rPr>
      <w:rFonts w:ascii="Times New Roman" w:hAnsi="Times New Roman" w:eastAsia="方正仿宋_GB2312"/>
      <w:sz w:val="32"/>
      <w:szCs w:val="28"/>
    </w:rPr>
  </w:style>
  <w:style w:type="paragraph" w:customStyle="1" w:styleId="10">
    <w:name w:val="图表样式"/>
    <w:basedOn w:val="1"/>
    <w:qFormat/>
    <w:uiPriority w:val="0"/>
    <w:pPr>
      <w:spacing w:before="0" w:beforeLines="0" w:line="240" w:lineRule="auto"/>
      <w:ind w:firstLine="482" w:firstLineChars="0"/>
      <w:jc w:val="center"/>
    </w:pPr>
    <w:rPr>
      <w:rFonts w:ascii="宋体" w:hAnsi="宋体" w:cs="Times New Roman"/>
      <w:b/>
      <w:sz w:val="21"/>
      <w:lang w:val="en-GB"/>
    </w:rPr>
  </w:style>
  <w:style w:type="paragraph" w:customStyle="1" w:styleId="11">
    <w:name w:val="说明书正文"/>
    <w:basedOn w:val="1"/>
    <w:qFormat/>
    <w:uiPriority w:val="0"/>
    <w:pPr>
      <w:ind w:firstLine="560"/>
    </w:pPr>
    <w:rPr>
      <w:rFonts w:ascii="Times New Roman" w:hAnsi="Times New Roman"/>
    </w:rPr>
  </w:style>
  <w:style w:type="paragraph" w:customStyle="1" w:styleId="12">
    <w:name w:val="说明书四级标题"/>
    <w:basedOn w:val="1"/>
    <w:qFormat/>
    <w:uiPriority w:val="0"/>
    <w:pPr>
      <w:keepNext/>
      <w:widowControl/>
      <w:ind w:firstLine="560"/>
    </w:pPr>
    <w:rPr>
      <w:rFonts w:hint="default" w:ascii="Times New Roman" w:hAnsi="Times New Roman" w:eastAsia="仿宋"/>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2205</Words>
  <Characters>2534</Characters>
  <Lines>0</Lines>
  <Paragraphs>0</Paragraphs>
  <TotalTime>8</TotalTime>
  <ScaleCrop>false</ScaleCrop>
  <LinksUpToDate>false</LinksUpToDate>
  <CharactersWithSpaces>2534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2023-02-23T12:49:00Z</dcterms:created>
  <dc:creator>wy</dc:creator>
  <cp:lastModifiedBy>彭阳局信息员</cp:lastModifiedBy>
  <dcterms:modified xsi:type="dcterms:W3CDTF">2023-11-10T08:53:34Z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6475FC2FACDA49D2922F55B9E92A6250_13</vt:lpwstr>
  </property>
</Properties>
</file>