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彭阳县新集乡下马洼村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村庄规划（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</w:rPr>
        <w:t>2022-2035</w:t>
      </w:r>
      <w:r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880" w:firstLineChars="20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</w:rPr>
      </w:pPr>
      <w:bookmarkStart w:id="2" w:name="_GoBack"/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规划范围与规划期限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下马洼村村庄规划编制的范围包括下马洼行政村所有管辖范围，涉及土地面积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437.75公顷。规划期限为2023-2035年，其中规划基期年为2022年；近期为2023-2025年；远期为2026-2035年。</w:t>
      </w:r>
    </w:p>
    <w:p>
      <w:pPr>
        <w:pStyle w:val="10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目标定位与规模确定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1、村庄分类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根据《彭阳县国土空间总体规划（2021-2035年）》的要求，确定下马洼村行政村整体主导类型为“特色保护类”。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2、村庄定位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方正行楷简体" w:cs="Times New Roman"/>
          <w:b w:val="0"/>
          <w:bCs w:val="0"/>
          <w:color w:val="E36C0A"/>
          <w:sz w:val="28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以现代化种养殖业为基础，以人文历史游览为拓展的传统文化示范村。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规划指标表</w:t>
      </w:r>
    </w:p>
    <w:tbl>
      <w:tblPr>
        <w:tblStyle w:val="6"/>
        <w:tblW w:w="8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0"/>
        <w:gridCol w:w="586"/>
        <w:gridCol w:w="3045"/>
        <w:gridCol w:w="1172"/>
        <w:gridCol w:w="1054"/>
        <w:gridCol w:w="937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520" w:type="dxa"/>
            <w:vMerge w:val="restart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序号</w:t>
            </w:r>
          </w:p>
        </w:tc>
        <w:tc>
          <w:tcPr>
            <w:tcW w:w="586" w:type="dxa"/>
            <w:vMerge w:val="restart"/>
            <w:shd w:val="clear" w:color="auto" w:fill="BEBEBE" w:themeFill="background1" w:themeFillShade="BF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类型</w:t>
            </w:r>
          </w:p>
        </w:tc>
        <w:tc>
          <w:tcPr>
            <w:tcW w:w="3045" w:type="dxa"/>
            <w:vMerge w:val="restart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指标</w:t>
            </w:r>
          </w:p>
        </w:tc>
        <w:tc>
          <w:tcPr>
            <w:tcW w:w="1172" w:type="dxa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现状基期年</w:t>
            </w:r>
          </w:p>
        </w:tc>
        <w:tc>
          <w:tcPr>
            <w:tcW w:w="1991" w:type="dxa"/>
            <w:gridSpan w:val="2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规划目标年</w:t>
            </w:r>
          </w:p>
        </w:tc>
        <w:tc>
          <w:tcPr>
            <w:tcW w:w="1108" w:type="dxa"/>
            <w:vMerge w:val="restart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520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1172" w:type="dxa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2022年</w:t>
            </w:r>
          </w:p>
        </w:tc>
        <w:tc>
          <w:tcPr>
            <w:tcW w:w="1054" w:type="dxa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2025年</w:t>
            </w:r>
          </w:p>
        </w:tc>
        <w:tc>
          <w:tcPr>
            <w:tcW w:w="937" w:type="dxa"/>
            <w:shd w:val="clear" w:color="auto" w:fill="BEBEBE" w:themeFill="background1" w:themeFillShade="BF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2035年</w:t>
            </w:r>
          </w:p>
        </w:tc>
        <w:tc>
          <w:tcPr>
            <w:tcW w:w="1108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村庄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发展</w:t>
            </w: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常住人口（人）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597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599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651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户籍人口（人）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1020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1024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1066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3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村庄集体收入（万元）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8.1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10.5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30.8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4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人均收入（元）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11577.6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15062.8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43966.0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5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国土空间开发保护</w:t>
            </w: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耕地保有量（公顷）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266.81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266.95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266.95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6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永久基本农田保护面积（公顷）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179.48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179.48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179.48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7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生态保护红线规模（公顷）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0.00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0.00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0.00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8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林地保有量（公顷）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80.89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78.89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78.89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9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湿地面积（公顷）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0.95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0.95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0.95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10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村庄建设边界面积（公顷）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27.12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19.15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19.15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11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留白用地（公顷）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0.00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1.21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1.21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12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建设用地总规模（公顷）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30.54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32.03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33.24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13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新增建设用地（公顷）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0.00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1.49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2.70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14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人均村庄建设用地（平方米/人）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265.90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226.85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229.27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15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公共服务设施用地规模（公顷）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0.32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0.58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0.58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16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基础设施用地规模（公顷）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4.51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6.81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6.81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17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集体经营性建设用地面积（公顷）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/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/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/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18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人居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环境</w:t>
            </w: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农村生活垃圾集中处理率（%）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90.00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95.00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100.00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19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村庄污水处理率（%）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0.00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75.00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100.00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20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20</w:t>
            </w:r>
          </w:p>
        </w:tc>
        <w:tc>
          <w:tcPr>
            <w:tcW w:w="586" w:type="dxa"/>
            <w:vMerge w:val="continue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</w:p>
        </w:tc>
        <w:tc>
          <w:tcPr>
            <w:tcW w:w="3045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户用厕所普及率（%）</w:t>
            </w:r>
          </w:p>
        </w:tc>
        <w:tc>
          <w:tcPr>
            <w:tcW w:w="1172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10.00 </w:t>
            </w:r>
          </w:p>
        </w:tc>
        <w:tc>
          <w:tcPr>
            <w:tcW w:w="1054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80.00 </w:t>
            </w:r>
          </w:p>
        </w:tc>
        <w:tc>
          <w:tcPr>
            <w:tcW w:w="937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 xml:space="preserve">100.00 </w:t>
            </w:r>
          </w:p>
        </w:tc>
        <w:tc>
          <w:tcPr>
            <w:tcW w:w="1108" w:type="dxa"/>
            <w:shd w:val="clear" w:color="auto" w:fill="auto"/>
            <w:tcMar>
              <w:top w:w="15" w:type="dxa"/>
              <w:left w:w="58" w:type="dxa"/>
              <w:bottom w:w="0" w:type="dxa"/>
              <w:right w:w="58" w:type="dxa"/>
            </w:tcMar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firstLine="420" w:firstLineChars="200"/>
              <w:textAlignment w:val="auto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</w:rPr>
              <w:t>预期性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60" w:firstLineChars="20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国土空间总体格局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宋体" w:cs="Times New Roman"/>
          <w:b w:val="0"/>
          <w:bCs w:val="0"/>
          <w:sz w:val="24"/>
          <w:szCs w:val="21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马洼村本次规划国土总面积437.75公顷，本次规划落实下马洼村永久基本农田179.48公顷。划定下马洼村水域蓝线主要指村域内所有河流水面，总占地面积为7.82公顷，占村域总面积的1.79%。根据全国重点文物保护单位记录档案，落实下马洼村历史文化保护范围面积52公顷，建设控制地带面积55.06公顷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bookmarkStart w:id="0" w:name="_Toc141627608"/>
      <w:bookmarkStart w:id="1" w:name="_Toc109978909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产业</w:t>
      </w:r>
      <w:bookmarkEnd w:id="0"/>
      <w:bookmarkEnd w:id="1"/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（1）传承保护与开发并重，盘活传统文化资源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保护小河湾遗址及周边环境的前提下，发展特色餐饮等民宿体验，坚持以农业作为村庄的主导产业，保持农业型村庄原汁原味的风格特色和生活氛围，营造安静安逸、生态自然的村庄生活状态，让前来体验的人真正的能够融入村庄，让下马洼村成为真正让他们身心放松的“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（2）拓展农业多种功能，开发乡村多元价值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拓展农业多种功能，推动特色乡村资源转化增值。依托下马洼村的设施产业优势与文化遗存，拓展农业的休闲体验功能，推动农文旅产业融合发展，形成文化和旅游吸引力，增强对农业提质增效的带动效应。二是瞄准市场需求，拓展产业发展空间。按照“品牌先行+产品跟进+产业链延伸”的思路，打造下马洼村农产品公用品牌，推进农产品加工、休闲农业和乡村旅游协同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托村庄资源，围绕多功能拓展、多业态聚集、多场景应用，开发民宿、村游、美食、购娱等综合体验项目。依托下马洼村的文化遗存，打造村庄文化展示馆。开发“品村味”产品，发展村味食堂、风味小吃、特色食品，培育精品农家菜和厨艺达人。开发“享村俗”产品，发展民俗风情游、民俗体验游、村落风光游等业态，创设村歌、旅游演艺、节庆展会等节目。创新发展文化体验、教育农园、亲子体验研学示范等业态，讲好村落故事，发展有活力的下马洼村的特色休闲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（3）延伸发展休闲农业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规模化种植的基础上，发展创意观光农业，尝试通过创意化设计和植物形态外观技术化改造等表现手法，建设一批彩色农田、创意绿化、创意盈栽、植物迷官等具有观赏性的农田观光区。引导有条件的精品种植区建设科教基地和中小学学农劳动实践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根据村庄经济发展现状，对村域产业发展进行合理引导，实现人与环境和谐发展。下马洼村规划形成“两心伴两轴、两点加四区”的产业布局形式。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两心：综合服务中心、文化展示中心。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两轴：“绿色”村庄发展轴、“古色”文化发展轴。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两点：养殖场、饲料加工配送中心。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四区：基本产业发展区、草畜产业发展区、乡村旅游发展区、现代农业发展区。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历史文化传承与保护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1、保护区划定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核心保护区：规划在小河湾遗址所在的地区划定保护区，保护区范围北至李儿河，南到沟青公路，西至饲料加工配送中心东用地边界向北的垂直线上，东止驼龙河桥。总范围面积为34.52公顷。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建设控制地带：保护区周边向外延伸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100米为其建设控制地带，总面积为64.14公顷。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环境协调区：下马洼村村域范围划定为环境协调区。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文化服务中心作为下马洼村的重点打造项目，承担下马洼村“古色”旅游产业发展和秦汉文化发扬的重要载体。主要分为三个部分的内容：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（1）“古韵”村宿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依托小河湾遗址建设打造下马洼村“古韵”村宿，本次规划共建设村宿8户，改造现状宅院2户。通过古朴、简洁、内敛的内部装修，配合雅致的艺术品打造高品质休闲民宿，同时引导村民利用闲置住宅发展民宿，盘活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（2）文化展览馆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“古韵”村宿南侧建设文化展示馆1处，立足小河湾资源，深挖内涵，以理想信念教育、传统文化体验、文创产品展销等，打造“主题课程、参观体验、情景演绎”等模式组合的兼具教育性、体验性、探究性的研学产品。结合用地现状，因地制宜、合理布局，装修布置游客服务中心、出土文物（仿品）展示中心、秦汉文化科普中心以及文创展销台，游客可进行游览参观、文化体验、购买一体化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（3）附属配套设施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附属配套设施主要包括公共卫生间、停车场以及相应的景观绿化等。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本次规划建设停车场共计938.13平方米，可容纳车位48个。规划新建公共卫生间1处，建筑面积60平方米。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居民点建设规划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规划结合村民意愿、上位及区域规划要求以及村庄自身发展的需求，按照缺什么补什么的原则，重点以完善基础设施和配置公共服务设施为主，提升现有公共服务设施水平，以满足居民居住生活和产业发展需求。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马洼村现状共三个村民小组，村庄整体沿固红公路分布有序，沟青公路两侧有零星农宅。本次规划结合《彭阳县国土空间总体规划（2021-2035年）》，落实基础设施建设，合理安排村庄整体布局。具体建设内容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（1）由于固红公路和沟青公路（固红公路-驼龙河桥）拓宽拆除共计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72户，拆除零散户22户，退院墙9户（旧院墙拆除后退重建）；规划针对拆除居民点进行重建，原则上维持村庄现状肌理和风貌，原址重建/扩建农宅86户。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结合居民点建设，重新配置公共服务设施，配套建设公共活动场地3处，总占地面积2139.9平方米；对村委会进行道路退线后重建，重建后村委会占地面积1892.41平方米；结合村委会东侧广场设置卫生室，建筑面积100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（3）结合村庄产业发展建设村庄文化展示中心1处，占地面积600平方米；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（4）规划利用村庄文化展示中心周边用地发展特色村宿，利用现状农宅改造民宿2户，新建二层民宿6户，新建民宿严格按照“山区每户不大于六分地（约400平方米）要求进行”建设。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基础设施与公共服务设施规划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1、基础设施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（1）公共管理设施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结合固红公路拓宽项目原址重建下马洼村村部，以村部为依托形成综合服务中心，占地面积1888.77平方米，建筑面积2173平方米；为二层办公建筑，包含村委会、村治理服务中心、消防室、农民培训中心、等以及其他与村务相关的其他功能部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（2）医疗卫生设施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规划结合固红公路的拓宽改造，对下马洼村现状卫生室进行原址重建，位于村委会东侧广场边，建筑面积100平方米。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（3）文体设施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1）结合固红公路拓宽改造，在新建村部东侧建设综合活动场地，占地面积1481平方米，配设乡村大舞台、篮球场、乒乓球桌、健生器材以及其他必要的设施。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2）规划在下马洼村上庄组新建公共活动场地一处，占地面积404.54平方米，配套安装健身器材、休息亭、休闲座椅、绿化、硬化等，以满足上庄组村民的日常活动需求。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3）规划在新建居民点（原下庄组位置）中心位置，建设公共果园1处，占地面积2392.93平方米，果园里面设置休闲座椅，沿果园边上预留人行道安装健身器材。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（4）社会福利设施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规划结合村委会设置老年人日间照料中心1处，建筑面积200平方米，配套建设厨房餐厅、卫生间、休闲娱乐室、图书阅览室、日间休息室和健身场地。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（5）其他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在小河湾遗址西侧，结合新建民宿建设村庄文化展示中心一处，占地面积993.13平方米，建筑面积600平方米，用于村庄产业发展和文化展示。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近期行动计划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jc w:val="left"/>
        <w:textAlignment w:val="auto"/>
        <w:outlineLvl w:val="9"/>
        <w:rPr>
          <w:rFonts w:hint="default" w:ascii="Times New Roman" w:hAnsi="Times New Roman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下马洼村村近期内重点建设项目28个，涉及基础设施、公共服务设施、居民点建设、产业发展和国土综合整治与生态修复，建设总投资3027.5万元。</w:t>
      </w:r>
    </w:p>
    <w:bookmarkEnd w:id="2"/>
    <w:p>
      <w:pPr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近期建设行动计划表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26"/>
        <w:gridCol w:w="787"/>
        <w:gridCol w:w="3636"/>
        <w:gridCol w:w="852"/>
        <w:gridCol w:w="1233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项目类别</w:t>
            </w:r>
          </w:p>
        </w:tc>
        <w:tc>
          <w:tcPr>
            <w:tcW w:w="426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序号</w:t>
            </w:r>
          </w:p>
        </w:tc>
        <w:tc>
          <w:tcPr>
            <w:tcW w:w="787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项目名称</w:t>
            </w:r>
          </w:p>
        </w:tc>
        <w:tc>
          <w:tcPr>
            <w:tcW w:w="3636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建设内容</w:t>
            </w:r>
          </w:p>
        </w:tc>
        <w:tc>
          <w:tcPr>
            <w:tcW w:w="852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投资额（万元）</w:t>
            </w:r>
          </w:p>
        </w:tc>
        <w:tc>
          <w:tcPr>
            <w:tcW w:w="1233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资金来源</w:t>
            </w:r>
          </w:p>
        </w:tc>
        <w:tc>
          <w:tcPr>
            <w:tcW w:w="1162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建设时序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6" w:type="dxa"/>
            <w:vMerge w:val="restart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基础设施及防灾减灾</w:t>
            </w: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道路建设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硬化村庄支路1000米，路宽5米。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90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入户路硬化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硬化村庄入户路共4992.74米，道路红线宽度3.5米。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315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交通标识牌建设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在固红公路、沟青公路与村庄道路的交叉口配套红绿灯、斑马线等警示性标志，彻底消除交通安全隐患。本次规划安装交通标志共</w:t>
            </w:r>
            <w:r>
              <w:rPr>
                <w:rFonts w:ascii="仿宋" w:hAnsi="仿宋" w:eastAsia="仿宋" w:cs="Calibri"/>
              </w:rPr>
              <w:t>4</w:t>
            </w:r>
            <w:r>
              <w:rPr>
                <w:rFonts w:hint="eastAsia" w:ascii="仿宋" w:hAnsi="仿宋" w:eastAsia="仿宋"/>
              </w:rPr>
              <w:t>套。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4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4</w:t>
            </w:r>
            <w:r>
              <w:rPr>
                <w:rFonts w:ascii="仿宋" w:hAnsi="仿宋" w:eastAsia="仿宋" w:cs="Calibri"/>
              </w:rPr>
              <w:t>　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停车场建设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本次规划在村部南侧布置集中停车场1处，占地面积260平方米，容纳公共停车位14个；在文化展示中心周边新建集中停车场1处，占地面积942平方米，容纳公共停车位48个。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5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供水设施建设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结合建设需求，共新建排水支管1150米，其中包括养殖场供水管450米。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6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排水设施建设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本次规划新建DN500排水干管299.41米；新建DN400排水干管2243.13米；新建DN300排水支管6423.28米。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367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7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供热设施建设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实施煤改电项目157户。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235.5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政府专项资金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vMerge w:val="restart"/>
            <w:shd w:val="clear" w:color="000000" w:fill="DCE6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8</w:t>
            </w:r>
          </w:p>
        </w:tc>
        <w:tc>
          <w:tcPr>
            <w:tcW w:w="787" w:type="dxa"/>
            <w:vMerge w:val="restart"/>
            <w:shd w:val="clear" w:color="000000" w:fill="DCE6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环卫设施建设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建设垃圾收集点</w:t>
            </w:r>
            <w:r>
              <w:rPr>
                <w:rFonts w:ascii="仿宋" w:hAnsi="仿宋" w:eastAsia="仿宋" w:cs="Calibri"/>
              </w:rPr>
              <w:t>1</w:t>
            </w:r>
            <w:r>
              <w:rPr>
                <w:rFonts w:hint="eastAsia" w:ascii="仿宋" w:hAnsi="仿宋" w:eastAsia="仿宋"/>
              </w:rPr>
              <w:t>处，总占地面积</w:t>
            </w:r>
            <w:r>
              <w:rPr>
                <w:rFonts w:ascii="仿宋" w:hAnsi="仿宋" w:eastAsia="仿宋" w:cs="Calibri"/>
              </w:rPr>
              <w:t>60</w:t>
            </w:r>
            <w:r>
              <w:rPr>
                <w:rFonts w:hint="eastAsia" w:ascii="仿宋" w:hAnsi="仿宋" w:eastAsia="仿宋"/>
              </w:rPr>
              <w:t>平方米，服务半径</w:t>
            </w:r>
            <w:r>
              <w:rPr>
                <w:rFonts w:ascii="仿宋" w:hAnsi="仿宋" w:eastAsia="仿宋" w:cs="Calibri"/>
              </w:rPr>
              <w:t>700</w:t>
            </w:r>
            <w:r>
              <w:rPr>
                <w:rFonts w:hint="eastAsia" w:ascii="仿宋" w:hAnsi="仿宋" w:eastAsia="仿宋"/>
              </w:rPr>
              <w:t>公里。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配套小型垃圾车</w:t>
            </w:r>
            <w:r>
              <w:rPr>
                <w:rFonts w:ascii="仿宋" w:hAnsi="仿宋" w:eastAsia="仿宋" w:cs="Calibri"/>
              </w:rPr>
              <w:t>2</w:t>
            </w:r>
            <w:r>
              <w:rPr>
                <w:rFonts w:hint="eastAsia" w:ascii="仿宋" w:hAnsi="仿宋" w:eastAsia="仿宋"/>
              </w:rPr>
              <w:t>辆，配套成品分类垃圾箱</w:t>
            </w:r>
            <w:r>
              <w:rPr>
                <w:rFonts w:ascii="仿宋" w:hAnsi="仿宋" w:eastAsia="仿宋" w:cs="Calibri"/>
              </w:rPr>
              <w:t>90</w:t>
            </w:r>
            <w:r>
              <w:rPr>
                <w:rFonts w:hint="eastAsia" w:ascii="仿宋" w:hAnsi="仿宋" w:eastAsia="仿宋"/>
              </w:rPr>
              <w:t>套。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</w:p>
        </w:tc>
        <w:tc>
          <w:tcPr>
            <w:tcW w:w="787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新建公共厕所</w:t>
            </w:r>
            <w:r>
              <w:rPr>
                <w:rFonts w:ascii="仿宋" w:hAnsi="仿宋" w:eastAsia="仿宋" w:cs="Calibri"/>
              </w:rPr>
              <w:t>1</w:t>
            </w:r>
            <w:r>
              <w:rPr>
                <w:rFonts w:hint="eastAsia" w:ascii="仿宋" w:hAnsi="仿宋" w:eastAsia="仿宋"/>
              </w:rPr>
              <w:t>处，建筑面积</w:t>
            </w:r>
            <w:r>
              <w:rPr>
                <w:rFonts w:ascii="仿宋" w:hAnsi="仿宋" w:eastAsia="仿宋" w:cs="Calibri"/>
              </w:rPr>
              <w:t>60</w:t>
            </w:r>
            <w:r>
              <w:rPr>
                <w:rFonts w:hint="eastAsia" w:ascii="仿宋" w:hAnsi="仿宋" w:eastAsia="仿宋"/>
              </w:rPr>
              <w:t>平方米。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40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9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电力通信线路整治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对乱混杂的线路重新梳理，老旧破损的线路进行修复。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8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企业专项资金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10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灭火器材配备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村庄建立义务消防队，在纵膈服务中心和文化服务中心配备必要的灭火器材各1套，组织扑救初起火灾。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地方配套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11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充电桩建设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规划安装</w:t>
            </w:r>
            <w:r>
              <w:rPr>
                <w:rFonts w:ascii="仿宋" w:hAnsi="仿宋" w:eastAsia="仿宋" w:cs="Calibri"/>
              </w:rPr>
              <w:t>2</w:t>
            </w:r>
            <w:r>
              <w:rPr>
                <w:rFonts w:hint="eastAsia" w:ascii="仿宋" w:hAnsi="仿宋" w:eastAsia="仿宋"/>
              </w:rPr>
              <w:t>台</w:t>
            </w:r>
            <w:r>
              <w:rPr>
                <w:rFonts w:ascii="仿宋" w:hAnsi="仿宋" w:eastAsia="仿宋" w:cs="Calibri"/>
              </w:rPr>
              <w:t>90KW</w:t>
            </w:r>
            <w:r>
              <w:rPr>
                <w:rFonts w:hint="eastAsia" w:ascii="仿宋" w:hAnsi="仿宋" w:eastAsia="仿宋"/>
              </w:rPr>
              <w:t>一体式直流充电桩，一桩一枪；</w:t>
            </w:r>
            <w:r>
              <w:rPr>
                <w:rFonts w:ascii="仿宋" w:hAnsi="仿宋" w:eastAsia="仿宋" w:cs="Calibri"/>
              </w:rPr>
              <w:t>2</w:t>
            </w:r>
            <w:r>
              <w:rPr>
                <w:rFonts w:hint="eastAsia" w:ascii="仿宋" w:hAnsi="仿宋" w:eastAsia="仿宋"/>
              </w:rPr>
              <w:t>台</w:t>
            </w:r>
            <w:r>
              <w:rPr>
                <w:rFonts w:ascii="仿宋" w:hAnsi="仿宋" w:eastAsia="仿宋" w:cs="Calibri"/>
              </w:rPr>
              <w:t>63KVA</w:t>
            </w:r>
            <w:r>
              <w:rPr>
                <w:rFonts w:hint="eastAsia" w:ascii="仿宋" w:hAnsi="仿宋" w:eastAsia="仿宋"/>
              </w:rPr>
              <w:t>欧式箱变，配套监控设施、雨棚等。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150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财政补助，地方配套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12</w:t>
            </w:r>
            <w:r>
              <w:rPr>
                <w:rFonts w:ascii="仿宋" w:hAnsi="仿宋" w:eastAsia="仿宋" w:cs="Calibri"/>
              </w:rPr>
              <w:t>　</w:t>
            </w:r>
          </w:p>
        </w:tc>
        <w:tc>
          <w:tcPr>
            <w:tcW w:w="787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户厕改造</w:t>
            </w:r>
          </w:p>
        </w:tc>
        <w:tc>
          <w:tcPr>
            <w:tcW w:w="3636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规划继续完善旱厕改造项目，本次结合排水工程的建设，补充完成旱厕改造共157户。</w:t>
            </w:r>
          </w:p>
        </w:tc>
        <w:tc>
          <w:tcPr>
            <w:tcW w:w="85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160</w:t>
            </w:r>
          </w:p>
        </w:tc>
        <w:tc>
          <w:tcPr>
            <w:tcW w:w="1233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财政补助、农户自筹</w:t>
            </w:r>
          </w:p>
        </w:tc>
        <w:tc>
          <w:tcPr>
            <w:tcW w:w="1162" w:type="dxa"/>
            <w:shd w:val="clear" w:color="000000" w:fill="DDEBF7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26" w:type="dxa"/>
            <w:vMerge w:val="restart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公共服务设施</w:t>
            </w:r>
          </w:p>
        </w:tc>
        <w:tc>
          <w:tcPr>
            <w:tcW w:w="426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13</w:t>
            </w:r>
          </w:p>
        </w:tc>
        <w:tc>
          <w:tcPr>
            <w:tcW w:w="787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公共活动广场</w:t>
            </w:r>
          </w:p>
        </w:tc>
        <w:tc>
          <w:tcPr>
            <w:tcW w:w="3636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新建活动广场1处，总占地面积约1.33公顷，配套建设体育健身器材以及休闲游憩场地。</w:t>
            </w:r>
          </w:p>
        </w:tc>
        <w:tc>
          <w:tcPr>
            <w:tcW w:w="852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140</w:t>
            </w:r>
          </w:p>
        </w:tc>
        <w:tc>
          <w:tcPr>
            <w:tcW w:w="1233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财政补助，乡镇自筹</w:t>
            </w:r>
          </w:p>
        </w:tc>
        <w:tc>
          <w:tcPr>
            <w:tcW w:w="1162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2022-2025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14</w:t>
            </w:r>
            <w:r>
              <w:rPr>
                <w:rFonts w:ascii="仿宋" w:hAnsi="仿宋" w:eastAsia="仿宋" w:cs="Calibri"/>
              </w:rPr>
              <w:t>　</w:t>
            </w:r>
          </w:p>
        </w:tc>
        <w:tc>
          <w:tcPr>
            <w:tcW w:w="787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卫生室</w:t>
            </w:r>
          </w:p>
        </w:tc>
        <w:tc>
          <w:tcPr>
            <w:tcW w:w="3636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提升改造卫生室1处，配套完善相关医药器材。</w:t>
            </w:r>
          </w:p>
        </w:tc>
        <w:tc>
          <w:tcPr>
            <w:tcW w:w="852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5</w:t>
            </w:r>
          </w:p>
        </w:tc>
        <w:tc>
          <w:tcPr>
            <w:tcW w:w="1233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</w:t>
            </w:r>
          </w:p>
        </w:tc>
        <w:tc>
          <w:tcPr>
            <w:tcW w:w="1162" w:type="dxa"/>
            <w:shd w:val="clear" w:color="000000" w:fill="FCE4D6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vMerge w:val="restart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产业发展项目</w:t>
            </w:r>
          </w:p>
        </w:tc>
        <w:tc>
          <w:tcPr>
            <w:tcW w:w="42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</w:t>
            </w:r>
            <w:r>
              <w:rPr>
                <w:rFonts w:hint="eastAsia" w:ascii="仿宋" w:hAnsi="仿宋" w:eastAsia="仿宋" w:cs="Calibri"/>
              </w:rPr>
              <w:t>5</w:t>
            </w:r>
          </w:p>
        </w:tc>
        <w:tc>
          <w:tcPr>
            <w:tcW w:w="787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养殖场</w:t>
            </w:r>
          </w:p>
        </w:tc>
        <w:tc>
          <w:tcPr>
            <w:tcW w:w="363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规划在村庄东北侧台地上新建养殖场1处，占地面积0.7公顷，可容纳牛存栏数825头。</w:t>
            </w:r>
          </w:p>
        </w:tc>
        <w:tc>
          <w:tcPr>
            <w:tcW w:w="85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280</w:t>
            </w:r>
          </w:p>
        </w:tc>
        <w:tc>
          <w:tcPr>
            <w:tcW w:w="1233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财政补助、农户自筹</w:t>
            </w:r>
          </w:p>
        </w:tc>
        <w:tc>
          <w:tcPr>
            <w:tcW w:w="116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16</w:t>
            </w:r>
          </w:p>
        </w:tc>
        <w:tc>
          <w:tcPr>
            <w:tcW w:w="787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饲料加工配送中心</w:t>
            </w:r>
          </w:p>
        </w:tc>
        <w:tc>
          <w:tcPr>
            <w:tcW w:w="363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规划在沟青公路南侧建设饲料加工配送中心1处，占地面积0.62公顷。</w:t>
            </w:r>
          </w:p>
        </w:tc>
        <w:tc>
          <w:tcPr>
            <w:tcW w:w="85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248</w:t>
            </w:r>
          </w:p>
        </w:tc>
        <w:tc>
          <w:tcPr>
            <w:tcW w:w="1233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财政补助、农户自筹</w:t>
            </w:r>
          </w:p>
        </w:tc>
        <w:tc>
          <w:tcPr>
            <w:tcW w:w="116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17</w:t>
            </w:r>
            <w:r>
              <w:rPr>
                <w:rFonts w:ascii="仿宋" w:hAnsi="仿宋" w:eastAsia="仿宋" w:cs="Calibri"/>
              </w:rPr>
              <w:t>　</w:t>
            </w:r>
          </w:p>
        </w:tc>
        <w:tc>
          <w:tcPr>
            <w:tcW w:w="787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“古韵”村宿</w:t>
            </w:r>
          </w:p>
        </w:tc>
        <w:tc>
          <w:tcPr>
            <w:tcW w:w="363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新建特色村宿8户，改建特色村宿2户。</w:t>
            </w:r>
          </w:p>
        </w:tc>
        <w:tc>
          <w:tcPr>
            <w:tcW w:w="85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420</w:t>
            </w:r>
          </w:p>
        </w:tc>
        <w:tc>
          <w:tcPr>
            <w:tcW w:w="1233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财政补助、农户自筹</w:t>
            </w:r>
          </w:p>
        </w:tc>
        <w:tc>
          <w:tcPr>
            <w:tcW w:w="116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</w:t>
            </w:r>
            <w:r>
              <w:rPr>
                <w:rFonts w:hint="eastAsia" w:ascii="仿宋" w:hAnsi="仿宋" w:eastAsia="仿宋" w:cs="Calibri"/>
              </w:rPr>
              <w:t>8</w:t>
            </w:r>
          </w:p>
        </w:tc>
        <w:tc>
          <w:tcPr>
            <w:tcW w:w="787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文化展览中心</w:t>
            </w:r>
          </w:p>
        </w:tc>
        <w:tc>
          <w:tcPr>
            <w:tcW w:w="3636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文化展示中心占地面积993.13平方米，建筑面积600平方米，包含游客服务中心、文化展示馆、文创销售台等，用于村庄产业发展和文化展示。</w:t>
            </w:r>
          </w:p>
        </w:tc>
        <w:tc>
          <w:tcPr>
            <w:tcW w:w="85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300</w:t>
            </w:r>
          </w:p>
        </w:tc>
        <w:tc>
          <w:tcPr>
            <w:tcW w:w="1233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</w:t>
            </w:r>
          </w:p>
        </w:tc>
        <w:tc>
          <w:tcPr>
            <w:tcW w:w="1162" w:type="dxa"/>
            <w:shd w:val="clear" w:color="000000" w:fill="D9E1F2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26" w:type="dxa"/>
            <w:vMerge w:val="restart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环境整治工程</w:t>
            </w:r>
          </w:p>
        </w:tc>
        <w:tc>
          <w:tcPr>
            <w:tcW w:w="42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</w:t>
            </w:r>
            <w:r>
              <w:rPr>
                <w:rFonts w:hint="eastAsia" w:ascii="仿宋" w:hAnsi="仿宋" w:eastAsia="仿宋" w:cs="Calibri"/>
              </w:rPr>
              <w:t>9</w:t>
            </w:r>
          </w:p>
        </w:tc>
        <w:tc>
          <w:tcPr>
            <w:tcW w:w="787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高标准农田建设</w:t>
            </w:r>
          </w:p>
        </w:tc>
        <w:tc>
          <w:tcPr>
            <w:tcW w:w="363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结合高标准农田建设，中低产农田改造，推进村庄低效林地和园地整理、农田水利设施建设等农用地整治，增加耕地数量，提高耕地质量、改善农业生产条件，本次规划高标准农田建设总面积179.48公顷。</w:t>
            </w:r>
          </w:p>
        </w:tc>
        <w:tc>
          <w:tcPr>
            <w:tcW w:w="85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90</w:t>
            </w:r>
          </w:p>
        </w:tc>
        <w:tc>
          <w:tcPr>
            <w:tcW w:w="1233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财政补助，乡镇自筹</w:t>
            </w:r>
          </w:p>
        </w:tc>
        <w:tc>
          <w:tcPr>
            <w:tcW w:w="116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20</w:t>
            </w:r>
          </w:p>
        </w:tc>
        <w:tc>
          <w:tcPr>
            <w:tcW w:w="787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综合环境整治</w:t>
            </w:r>
          </w:p>
        </w:tc>
        <w:tc>
          <w:tcPr>
            <w:tcW w:w="363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对村庄外围空地、河道两侧、公路沿线两侧、广场空地等全面植绿增绿；考虑防火等现实之需，在全面清除农户私自占用公共绿化带之后，对公共巷道两侧绿化带进行灌木等观赏植物和料石搭配处理。</w:t>
            </w:r>
          </w:p>
        </w:tc>
        <w:tc>
          <w:tcPr>
            <w:tcW w:w="85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50</w:t>
            </w:r>
          </w:p>
        </w:tc>
        <w:tc>
          <w:tcPr>
            <w:tcW w:w="1233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财政补助，乡镇自筹</w:t>
            </w:r>
          </w:p>
        </w:tc>
        <w:tc>
          <w:tcPr>
            <w:tcW w:w="116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21</w:t>
            </w:r>
            <w:r>
              <w:rPr>
                <w:rFonts w:ascii="仿宋" w:hAnsi="仿宋" w:eastAsia="仿宋" w:cs="Calibri"/>
              </w:rPr>
              <w:t>　</w:t>
            </w:r>
          </w:p>
        </w:tc>
        <w:tc>
          <w:tcPr>
            <w:tcW w:w="787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农户院落整治</w:t>
            </w:r>
          </w:p>
        </w:tc>
        <w:tc>
          <w:tcPr>
            <w:tcW w:w="363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对现状100户农户院落内部圈舍进行清理，并做硬化和绿化整治。</w:t>
            </w:r>
          </w:p>
        </w:tc>
        <w:tc>
          <w:tcPr>
            <w:tcW w:w="85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10</w:t>
            </w:r>
          </w:p>
        </w:tc>
        <w:tc>
          <w:tcPr>
            <w:tcW w:w="1233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财政补助、农户自筹</w:t>
            </w:r>
          </w:p>
        </w:tc>
        <w:tc>
          <w:tcPr>
            <w:tcW w:w="116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426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42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</w:rPr>
              <w:t>22</w:t>
            </w:r>
          </w:p>
        </w:tc>
        <w:tc>
          <w:tcPr>
            <w:tcW w:w="787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河道治理</w:t>
            </w:r>
          </w:p>
        </w:tc>
        <w:tc>
          <w:tcPr>
            <w:tcW w:w="3636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对李儿河河道进行疏浚，清除生产生活垃圾，实施长度为2.5公里</w:t>
            </w:r>
          </w:p>
        </w:tc>
        <w:tc>
          <w:tcPr>
            <w:tcW w:w="85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15</w:t>
            </w:r>
          </w:p>
        </w:tc>
        <w:tc>
          <w:tcPr>
            <w:tcW w:w="1233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财政补助，乡镇自筹</w:t>
            </w:r>
          </w:p>
        </w:tc>
        <w:tc>
          <w:tcPr>
            <w:tcW w:w="1162" w:type="dxa"/>
            <w:shd w:val="clear" w:color="000000" w:fill="E2EFDA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>2023-2025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5275" w:type="dxa"/>
            <w:gridSpan w:val="4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投资合计</w:t>
            </w:r>
          </w:p>
        </w:tc>
        <w:tc>
          <w:tcPr>
            <w:tcW w:w="852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 w:cs="Calibri"/>
                <w:b/>
              </w:rPr>
            </w:pPr>
            <w:r>
              <w:rPr>
                <w:rFonts w:ascii="仿宋" w:hAnsi="仿宋" w:eastAsia="仿宋" w:cs="Calibri"/>
                <w:b/>
              </w:rPr>
              <w:t>3027.5</w:t>
            </w:r>
          </w:p>
        </w:tc>
        <w:tc>
          <w:tcPr>
            <w:tcW w:w="1233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</w:t>
            </w:r>
          </w:p>
        </w:tc>
        <w:tc>
          <w:tcPr>
            <w:tcW w:w="1162" w:type="dxa"/>
            <w:shd w:val="clear" w:color="000000" w:fill="D0CECE"/>
            <w:vAlign w:val="center"/>
          </w:tcPr>
          <w:p>
            <w:pPr>
              <w:pStyle w:val="11"/>
              <w:rPr>
                <w:rFonts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　</w:t>
            </w:r>
          </w:p>
        </w:tc>
      </w:tr>
    </w:tbl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35A3"/>
    <w:multiLevelType w:val="multilevel"/>
    <w:tmpl w:val="7B9135A3"/>
    <w:lvl w:ilvl="0" w:tentative="0">
      <w:start w:val="1"/>
      <w:numFmt w:val="chineseCountingThousand"/>
      <w:suff w:val="nothing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0583B8C"/>
    <w:rsid w:val="000117E1"/>
    <w:rsid w:val="00053033"/>
    <w:rsid w:val="001D247C"/>
    <w:rsid w:val="0034360C"/>
    <w:rsid w:val="004006DE"/>
    <w:rsid w:val="00421DE0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F45EC"/>
    <w:rsid w:val="008536E4"/>
    <w:rsid w:val="00893197"/>
    <w:rsid w:val="008B0F9B"/>
    <w:rsid w:val="00935DF2"/>
    <w:rsid w:val="00A83618"/>
    <w:rsid w:val="00B17A9C"/>
    <w:rsid w:val="00BF583F"/>
    <w:rsid w:val="00C35F05"/>
    <w:rsid w:val="00F0116D"/>
    <w:rsid w:val="00F03B5D"/>
    <w:rsid w:val="00F16B0D"/>
    <w:rsid w:val="00FC77D4"/>
    <w:rsid w:val="1B887988"/>
    <w:rsid w:val="2D426ED6"/>
    <w:rsid w:val="42AD450F"/>
    <w:rsid w:val="52074788"/>
    <w:rsid w:val="5BE70AC5"/>
    <w:rsid w:val="613A0929"/>
    <w:rsid w:val="7526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表格"/>
    <w:basedOn w:val="12"/>
    <w:link w:val="13"/>
    <w:qFormat/>
    <w:uiPriority w:val="0"/>
    <w:pPr>
      <w:jc w:val="center"/>
    </w:pPr>
    <w:rPr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表格 Char"/>
    <w:basedOn w:val="5"/>
    <w:link w:val="11"/>
    <w:qFormat/>
    <w:uiPriority w:val="0"/>
    <w:rPr>
      <w:szCs w:val="21"/>
    </w:rPr>
  </w:style>
  <w:style w:type="character" w:customStyle="1" w:styleId="14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图表名"/>
    <w:basedOn w:val="1"/>
    <w:link w:val="16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16">
    <w:name w:val="图表名 Char"/>
    <w:basedOn w:val="5"/>
    <w:link w:val="15"/>
    <w:qFormat/>
    <w:uiPriority w:val="0"/>
    <w:rPr>
      <w:rFonts w:ascii="Times New Roman" w:hAnsi="Times New Roman" w:cs="Times New Roman"/>
      <w:b/>
      <w:sz w:val="2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xyt</Company>
  <Pages>13</Pages>
  <Words>936</Words>
  <Characters>5341</Characters>
  <Lines>44</Lines>
  <Paragraphs>12</Paragraphs>
  <TotalTime>50</TotalTime>
  <ScaleCrop>false</ScaleCrop>
  <LinksUpToDate>false</LinksUpToDate>
  <CharactersWithSpaces>6265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2023-10-09T02:35:00Z</dcterms:created>
  <dc:creator>Rainbow</dc:creator>
  <cp:lastModifiedBy>彭阳局信息员</cp:lastModifiedBy>
  <dcterms:modified xsi:type="dcterms:W3CDTF">2023-11-10T08:25:26Z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C77798F1589F4843BDCE44903CFFA3D3_12</vt:lpwstr>
  </property>
</Properties>
</file>