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彭阳县新集乡白河村</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村庄规划（202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-2035年）</w:t>
      </w:r>
    </w:p>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outlineLvl w:val="9"/>
        <w:rPr>
          <w:rFonts w:hint="eastAsia" w:ascii="方正小标宋简体" w:hAnsi="方正小标宋简体" w:eastAsia="方正小标宋简体" w:cs="方正小标宋简体"/>
          <w:b w:val="0"/>
          <w:bCs w:val="0"/>
          <w:color w:val="000000"/>
          <w:sz w:val="44"/>
          <w:szCs w:val="44"/>
        </w:rPr>
      </w:pP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outlineLvl w:val="9"/>
        <w:rPr>
          <w:rFonts w:ascii="黑体" w:hAnsi="黑体" w:eastAsia="黑体" w:cs="黑体"/>
          <w:b w:val="0"/>
          <w:bCs w:val="0"/>
          <w:szCs w:val="32"/>
        </w:rPr>
      </w:pPr>
      <w:r>
        <w:rPr>
          <w:rFonts w:ascii="黑体" w:hAnsi="黑体" w:eastAsia="黑体" w:cs="黑体"/>
          <w:b w:val="0"/>
          <w:bCs w:val="0"/>
          <w:szCs w:val="32"/>
        </w:rPr>
        <w:t>规划范围与规划期限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白河村位于彭阳县城南18公里，新集乡东南面,北靠姚河村，东接峁堡村与大伙村，南临甘肃省，西接张湾村。本次村庄规划编制的范围涵盖整个白河村行政管理范围，共8个村民小组，包括白河村村庄建设范围和土地管理范围，涉及土地面积1198.25公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Theme="minorEastAsia" w:hAnsiTheme="minorEastAsia"/>
          <w:b w:val="0"/>
          <w:bCs w:val="0"/>
          <w:sz w:val="28"/>
          <w:szCs w:val="28"/>
        </w:rPr>
      </w:pPr>
      <w:r>
        <w:rPr>
          <w:rFonts w:hint="eastAsia"/>
          <w:b w:val="0"/>
          <w:bCs w:val="0"/>
        </w:rPr>
        <w:t>本次规划期限为202</w:t>
      </w:r>
      <w:r>
        <w:rPr>
          <w:b w:val="0"/>
          <w:bCs w:val="0"/>
        </w:rPr>
        <w:t>3</w:t>
      </w:r>
      <w:r>
        <w:rPr>
          <w:rFonts w:hint="eastAsia"/>
          <w:b w:val="0"/>
          <w:bCs w:val="0"/>
        </w:rPr>
        <w:t>-2035年，其中：近期：202</w:t>
      </w:r>
      <w:r>
        <w:rPr>
          <w:b w:val="0"/>
          <w:bCs w:val="0"/>
        </w:rPr>
        <w:t>3</w:t>
      </w:r>
      <w:r>
        <w:rPr>
          <w:rFonts w:hint="eastAsia"/>
          <w:b w:val="0"/>
          <w:bCs w:val="0"/>
        </w:rPr>
        <w:t>-2025年；远期：2026-2035年。</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outlineLvl w:val="9"/>
        <w:rPr>
          <w:rFonts w:ascii="黑体" w:hAnsi="黑体" w:eastAsia="黑体" w:cs="黑体"/>
          <w:b w:val="0"/>
          <w:bCs w:val="0"/>
          <w:szCs w:val="32"/>
        </w:rPr>
      </w:pPr>
      <w:r>
        <w:rPr>
          <w:rFonts w:hint="eastAsia" w:ascii="黑体" w:hAnsi="黑体" w:eastAsia="黑体" w:cs="黑体"/>
          <w:b w:val="0"/>
          <w:bCs w:val="0"/>
          <w:szCs w:val="32"/>
        </w:rPr>
        <w:t>目标定位与规模确定</w:t>
      </w:r>
    </w:p>
    <w:p>
      <w:pPr>
        <w:pStyle w:val="11"/>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outlineLvl w:val="9"/>
        <w:rPr>
          <w:b w:val="0"/>
          <w:bCs w:val="0"/>
        </w:rPr>
      </w:pPr>
      <w:r>
        <w:rPr>
          <w:rFonts w:hint="eastAsia"/>
          <w:b w:val="0"/>
          <w:bCs w:val="0"/>
          <w:lang w:val="en-US" w:eastAsia="zh-CN"/>
        </w:rPr>
        <w:t>1.</w:t>
      </w:r>
      <w:r>
        <w:rPr>
          <w:b w:val="0"/>
          <w:bCs w:val="0"/>
        </w:rPr>
        <w:t>村庄分类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根据《彭阳县国土空间总体规划(2021-2035)》确定白河村为集聚提升类村庄。</w:t>
      </w:r>
    </w:p>
    <w:p>
      <w:pPr>
        <w:pStyle w:val="11"/>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b w:val="0"/>
          <w:bCs w:val="0"/>
        </w:rPr>
      </w:pPr>
      <w:r>
        <w:rPr>
          <w:rFonts w:hint="eastAsia"/>
          <w:b w:val="0"/>
          <w:bCs w:val="0"/>
          <w:lang w:val="en-US" w:eastAsia="zh-CN"/>
        </w:rPr>
        <w:t>2.</w:t>
      </w:r>
      <w:r>
        <w:rPr>
          <w:b w:val="0"/>
          <w:bCs w:val="0"/>
        </w:rPr>
        <w:t>村庄定位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基于对白河村自然地理条件、资源特点、产业基础及相关规划要求等的梳理，融合区域发展实际情况及村庄常住居民诉求，对白河村开展实用性村庄规划，全面改善村庄整体风貌，积极完善村庄配套设施，大力提升村庄人居环境，全面推进村庄产业高度融合，努力扩大村庄产业发展规模，促进村庄经济和社会可持续发展，力争在规划期内将白河村建设为产业突出、生活舒适、村容整洁、环境宜人、设施齐全、乡风文明的高质量发展宜居美丽村庄，规划打造“山水相依、风光秀丽、沃野千里、牛羊结队”的乡村特色产业示范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白河村形象定位为：风情山村，魅力田园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白河村</w:t>
      </w:r>
      <w:r>
        <w:rPr>
          <w:b w:val="0"/>
          <w:bCs w:val="0"/>
        </w:rPr>
        <w:t>发展定位：</w:t>
      </w:r>
      <w:r>
        <w:rPr>
          <w:rFonts w:hint="eastAsia"/>
          <w:b w:val="0"/>
          <w:bCs w:val="0"/>
        </w:rPr>
        <w:t>以现代农业和牛羊养殖为主体，以设施农业和小秋杂粮种植为辅、以休闲旅游为延伸的特色产业示范村。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人口规模：近期2025年常住人口为1321人，远期2035年常住人口为1328人。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b w:val="0"/>
          <w:bCs w:val="0"/>
        </w:rPr>
      </w:pPr>
      <w:r>
        <w:rPr>
          <w:rFonts w:hint="eastAsia"/>
          <w:b w:val="0"/>
          <w:bCs w:val="0"/>
        </w:rPr>
        <w:t>用地规模：白河村建设用地总规模59.73公顷，村庄建设用地面积57.77公顷，农村宅基地总面积为36.10公顷，户均宅基地面积减至493m</w:t>
      </w:r>
      <w:r>
        <w:rPr>
          <w:rFonts w:hint="eastAsia"/>
          <w:b w:val="0"/>
          <w:bCs w:val="0"/>
          <w:vertAlign w:val="superscript"/>
        </w:rPr>
        <w:t>2</w:t>
      </w:r>
      <w:r>
        <w:rPr>
          <w:rFonts w:hint="eastAsia"/>
          <w:b w:val="0"/>
          <w:bCs w:val="0"/>
        </w:rPr>
        <w:t>/户。</w:t>
      </w:r>
    </w:p>
    <w:p>
      <w:pPr>
        <w:ind w:firstLine="0" w:firstLineChars="0"/>
        <w:jc w:val="center"/>
        <w:rPr>
          <w:b w:val="0"/>
          <w:bCs w:val="0"/>
          <w:sz w:val="28"/>
        </w:rPr>
      </w:pPr>
      <w:r>
        <w:rPr>
          <w:b w:val="0"/>
          <w:bCs w:val="0"/>
          <w:sz w:val="28"/>
        </w:rPr>
        <w:t>规划指标表</w:t>
      </w:r>
    </w:p>
    <w:tbl>
      <w:tblPr>
        <w:tblStyle w:val="9"/>
        <w:tblW w:w="10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0"/>
        <w:gridCol w:w="1180"/>
        <w:gridCol w:w="4453"/>
        <w:gridCol w:w="1263"/>
        <w:gridCol w:w="1165"/>
        <w:gridCol w:w="100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序号</w:t>
            </w:r>
          </w:p>
        </w:tc>
        <w:tc>
          <w:tcPr>
            <w:tcW w:w="1180"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类型</w:t>
            </w:r>
          </w:p>
        </w:tc>
        <w:tc>
          <w:tcPr>
            <w:tcW w:w="4453"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指标</w:t>
            </w:r>
          </w:p>
        </w:tc>
        <w:tc>
          <w:tcPr>
            <w:tcW w:w="1263"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现状</w:t>
            </w:r>
          </w:p>
        </w:tc>
        <w:tc>
          <w:tcPr>
            <w:tcW w:w="2166" w:type="dxa"/>
            <w:gridSpan w:val="2"/>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规划目标</w:t>
            </w:r>
          </w:p>
        </w:tc>
        <w:tc>
          <w:tcPr>
            <w:tcW w:w="1167"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vMerge w:val="continue"/>
            <w:vAlign w:val="center"/>
          </w:tcPr>
          <w:p>
            <w:pPr>
              <w:pStyle w:val="18"/>
              <w:rPr>
                <w:rFonts w:hint="eastAsia" w:ascii="仿宋_GB2312" w:hAnsi="仿宋_GB2312" w:eastAsia="仿宋_GB2312" w:cs="仿宋_GB2312"/>
                <w:b w:val="0"/>
                <w:bCs w:val="0"/>
                <w:sz w:val="22"/>
                <w:szCs w:val="22"/>
              </w:rPr>
            </w:pP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vMerge w:val="continue"/>
            <w:vAlign w:val="center"/>
          </w:tcPr>
          <w:p>
            <w:pPr>
              <w:pStyle w:val="18"/>
              <w:rPr>
                <w:rFonts w:hint="eastAsia" w:ascii="仿宋_GB2312" w:hAnsi="仿宋_GB2312" w:eastAsia="仿宋_GB2312" w:cs="仿宋_GB2312"/>
                <w:b w:val="0"/>
                <w:bCs w:val="0"/>
                <w:sz w:val="22"/>
                <w:szCs w:val="22"/>
              </w:rPr>
            </w:pPr>
          </w:p>
        </w:tc>
        <w:tc>
          <w:tcPr>
            <w:tcW w:w="1263" w:type="dxa"/>
            <w:vMerge w:val="continue"/>
            <w:vAlign w:val="center"/>
          </w:tcPr>
          <w:p>
            <w:pPr>
              <w:pStyle w:val="18"/>
              <w:rPr>
                <w:rFonts w:hint="eastAsia" w:ascii="仿宋_GB2312" w:hAnsi="仿宋_GB2312" w:eastAsia="仿宋_GB2312" w:cs="仿宋_GB2312"/>
                <w:b w:val="0"/>
                <w:bCs w:val="0"/>
                <w:sz w:val="22"/>
                <w:szCs w:val="22"/>
              </w:rPr>
            </w:pP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近期</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远期</w:t>
            </w:r>
          </w:p>
        </w:tc>
        <w:tc>
          <w:tcPr>
            <w:tcW w:w="1167" w:type="dxa"/>
            <w:vMerge w:val="continue"/>
            <w:vAlign w:val="center"/>
          </w:tcPr>
          <w:p>
            <w:pPr>
              <w:pStyle w:val="18"/>
              <w:rPr>
                <w:rFonts w:hint="eastAsia" w:ascii="仿宋_GB2312" w:hAnsi="仿宋_GB2312" w:eastAsia="仿宋_GB2312" w:cs="仿宋_GB2312"/>
                <w:b w:val="0"/>
                <w:bCs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w:t>
            </w:r>
          </w:p>
        </w:tc>
        <w:tc>
          <w:tcPr>
            <w:tcW w:w="1180"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村庄发展</w:t>
            </w: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常住人口量（人）</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1326</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1321</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1328</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户籍人口（人）</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2681</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2668</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2683</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3</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村庄集体收入（万元）</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8</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15</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30</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人均可支配收入（元）</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12163</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15279</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31822</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w:t>
            </w:r>
          </w:p>
        </w:tc>
        <w:tc>
          <w:tcPr>
            <w:tcW w:w="1180"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国土空间开发保护</w:t>
            </w: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耕地保有量（公顷）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546.88</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560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573.83</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6</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永久基本农田保护面积（公顷）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454.72</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454.72</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454.72</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7</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生态保护红线规模（公顷）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285.78</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285.78</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285.78</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8</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林地保有量（公顷）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482.6</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480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479.53</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9</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湿地面积（公顷）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村庄建设边界面积（公顷）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52.13</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50.02</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48.35</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11</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留白用地（公顷）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2.93</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2.93</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12</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建设用地总规模（公顷）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64.89</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60.5</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59.73</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13</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新增建设用地规模（公顷）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14</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人均村庄建设用地面积（m²/人）</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234.8</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220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215.3</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15</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公共管理与公共服务设施用地（公顷）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0.81</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0.67</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0.67</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16</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基础设施用地规模（公顷）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0.95</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1.21</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1.21</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17</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集体经营性建设用地面积（公顷）</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18</w:t>
            </w:r>
          </w:p>
        </w:tc>
        <w:tc>
          <w:tcPr>
            <w:tcW w:w="1180"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人居环境</w:t>
            </w: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农村生活垃圾收集处理率（%）</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75</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100</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19</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村庄污水处理率（%）</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95</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0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w:t>
            </w:r>
          </w:p>
        </w:tc>
        <w:tc>
          <w:tcPr>
            <w:tcW w:w="1180" w:type="dxa"/>
            <w:vMerge w:val="continue"/>
            <w:vAlign w:val="center"/>
          </w:tcPr>
          <w:p>
            <w:pPr>
              <w:pStyle w:val="18"/>
              <w:rPr>
                <w:rFonts w:hint="eastAsia" w:ascii="仿宋_GB2312" w:hAnsi="仿宋_GB2312" w:eastAsia="仿宋_GB2312" w:cs="仿宋_GB2312"/>
                <w:b w:val="0"/>
                <w:bCs w:val="0"/>
                <w:sz w:val="22"/>
                <w:szCs w:val="22"/>
              </w:rPr>
            </w:pPr>
          </w:p>
        </w:tc>
        <w:tc>
          <w:tcPr>
            <w:tcW w:w="445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户用厕所普及率（%）</w:t>
            </w:r>
          </w:p>
        </w:tc>
        <w:tc>
          <w:tcPr>
            <w:tcW w:w="1263"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16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60</w:t>
            </w:r>
          </w:p>
        </w:tc>
        <w:tc>
          <w:tcPr>
            <w:tcW w:w="1001"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100</w:t>
            </w:r>
          </w:p>
        </w:tc>
        <w:tc>
          <w:tcPr>
            <w:tcW w:w="1167"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预期性</w:t>
            </w:r>
          </w:p>
        </w:tc>
      </w:tr>
    </w:tbl>
    <w:p>
      <w:pPr>
        <w:pStyle w:val="11"/>
        <w:keepNext w:val="0"/>
        <w:keepLines w:val="0"/>
        <w:pageBreakBefore w:val="0"/>
        <w:widowControl w:val="0"/>
        <w:numPr>
          <w:ilvl w:val="0"/>
          <w:numId w:val="2"/>
        </w:numPr>
        <w:kinsoku/>
        <w:wordWrap/>
        <w:overflowPunct/>
        <w:topLinePunct w:val="0"/>
        <w:autoSpaceDE/>
        <w:autoSpaceDN/>
        <w:bidi w:val="0"/>
        <w:adjustRightInd/>
        <w:snapToGrid/>
        <w:ind w:left="0" w:firstLine="640" w:firstLineChars="200"/>
        <w:textAlignment w:val="auto"/>
        <w:outlineLvl w:val="9"/>
        <w:rPr>
          <w:rFonts w:ascii="黑体" w:hAnsi="黑体" w:eastAsia="黑体" w:cs="黑体"/>
          <w:b w:val="0"/>
          <w:bCs w:val="0"/>
          <w:szCs w:val="32"/>
        </w:rPr>
      </w:pPr>
      <w:r>
        <w:rPr>
          <w:rFonts w:ascii="黑体" w:hAnsi="黑体" w:eastAsia="黑体" w:cs="黑体"/>
          <w:b w:val="0"/>
          <w:bCs w:val="0"/>
          <w:szCs w:val="32"/>
        </w:rPr>
        <w:t>国土空间总体格局</w:t>
      </w:r>
    </w:p>
    <w:p>
      <w:pPr>
        <w:rPr>
          <w:b w:val="0"/>
          <w:bCs w:val="0"/>
        </w:rPr>
      </w:pPr>
      <w:r>
        <w:rPr>
          <w:rFonts w:hint="eastAsia"/>
          <w:b w:val="0"/>
          <w:bCs w:val="0"/>
        </w:rPr>
        <w:t>白河村本次规划国土总面积1198.25公顷，规划划定白河村生态保护红线285.78，永久基本农田454.72公顷。</w:t>
      </w:r>
    </w:p>
    <w:p>
      <w:pPr>
        <w:rPr>
          <w:b w:val="0"/>
          <w:bCs w:val="0"/>
        </w:rPr>
      </w:pPr>
      <w:r>
        <w:rPr>
          <w:rFonts w:hint="eastAsia"/>
          <w:b w:val="0"/>
          <w:bCs w:val="0"/>
        </w:rPr>
        <w:t>其中</w:t>
      </w:r>
      <w:r>
        <w:rPr>
          <w:b w:val="0"/>
          <w:bCs w:val="0"/>
        </w:rPr>
        <w:t>：</w:t>
      </w:r>
      <w:r>
        <w:rPr>
          <w:rFonts w:hint="eastAsia"/>
          <w:b w:val="0"/>
          <w:bCs w:val="0"/>
        </w:rPr>
        <w:t>耕地面积573.83公顷，其中水浇地129.07公顷，旱地444.75公顷；园地面积0.30公顷，均为果园；林地面积479.53公顷，占其中乔木林地198.22公顷，灌木林地49.91公顷，其他林地231.40公顷；草地面积42.52公顷，其中天然牧草地0.98公顷，人工牧草地0.07公顷，其他草地41.47公顷；农业设施建设用地面积20.61公顷，其中乡村道路用地13.73公顷，种植设施建设用地0.56公顷，畜禽养殖设施建设用地6.32公顷；居住用地面积36.29公顷，占国土总面积的0.03%，其中农村宅基地36.10公顷，农村社区服务设施用地0.19公顷；公共管理与公共服务用地0.67公顷，均为教育用地；交通运输用地2.02公顷，其中公路用地1.96公顷，交通场站用地0.06公顷；公用设施用地1.21公顷，其中排水用地0.11公顷，环卫用地0.04公顷，通信用地0.18公顷，水工设施用地0.88公顷；绿地与开敞空间用地1.53公顷，均为广场用地；特殊用地1.36公顷；陆地水域28.33公顷其中河流水面14.36公顷，水库水面13.34公顷，沟渠0.63公顷；其他土地7.14公顷均为田间道；规划留白用地面积2.93公顷，占村庄建设用地总规模的5%。</w:t>
      </w:r>
    </w:p>
    <w:p>
      <w:pPr>
        <w:pStyle w:val="11"/>
        <w:keepNext w:val="0"/>
        <w:keepLines w:val="0"/>
        <w:pageBreakBefore w:val="0"/>
        <w:widowControl w:val="0"/>
        <w:numPr>
          <w:ilvl w:val="0"/>
          <w:numId w:val="2"/>
        </w:numPr>
        <w:kinsoku/>
        <w:wordWrap/>
        <w:overflowPunct/>
        <w:topLinePunct w:val="0"/>
        <w:autoSpaceDE/>
        <w:autoSpaceDN/>
        <w:bidi w:val="0"/>
        <w:adjustRightInd/>
        <w:snapToGrid/>
        <w:ind w:left="0" w:firstLine="640" w:firstLineChars="200"/>
        <w:textAlignment w:val="auto"/>
        <w:outlineLvl w:val="9"/>
        <w:rPr>
          <w:rFonts w:ascii="黑体" w:hAnsi="黑体" w:eastAsia="黑体" w:cs="黑体"/>
          <w:b w:val="0"/>
          <w:bCs w:val="0"/>
          <w:szCs w:val="32"/>
        </w:rPr>
      </w:pPr>
      <w:bookmarkStart w:id="0" w:name="_Toc109978909"/>
      <w:bookmarkStart w:id="1" w:name="_Toc141627608"/>
      <w:r>
        <w:rPr>
          <w:rFonts w:ascii="黑体" w:hAnsi="黑体" w:eastAsia="黑体" w:cs="黑体"/>
          <w:b w:val="0"/>
          <w:bCs w:val="0"/>
          <w:szCs w:val="32"/>
        </w:rPr>
        <w:t>产业布局</w:t>
      </w:r>
      <w:bookmarkEnd w:id="0"/>
      <w:bookmarkEnd w:id="1"/>
      <w:r>
        <w:rPr>
          <w:rFonts w:hint="eastAsia" w:ascii="黑体" w:hAnsi="黑体" w:eastAsia="黑体" w:cs="黑体"/>
          <w:b w:val="0"/>
          <w:bCs w:val="0"/>
          <w:szCs w:val="32"/>
        </w:rPr>
        <w:t>规划</w:t>
      </w:r>
    </w:p>
    <w:p>
      <w:pPr>
        <w:rPr>
          <w:b w:val="0"/>
          <w:bCs w:val="0"/>
        </w:rPr>
      </w:pPr>
      <w:r>
        <w:rPr>
          <w:rFonts w:hint="eastAsia"/>
          <w:b w:val="0"/>
          <w:bCs w:val="0"/>
        </w:rPr>
        <w:t>按照村庄产业体系的发展要求，以现有产业分布为基础进行整合优化，结合彭阳县、新集乡产业发展策略，规划确定白河村产业发展形成“一心两轴多点五区”产业总体布局。</w:t>
      </w:r>
    </w:p>
    <w:p>
      <w:pPr>
        <w:rPr>
          <w:b w:val="0"/>
          <w:bCs w:val="0"/>
        </w:rPr>
      </w:pPr>
      <w:r>
        <w:rPr>
          <w:rFonts w:hint="eastAsia"/>
          <w:b w:val="0"/>
          <w:bCs w:val="0"/>
        </w:rPr>
        <w:t>“一心”：综合服务中心。依托村委会、现代农业技术培训室、文化广场等形成的服务于周边区域的村庄综合配套服务中心。</w:t>
      </w:r>
    </w:p>
    <w:p>
      <w:pPr>
        <w:rPr>
          <w:b w:val="0"/>
          <w:bCs w:val="0"/>
        </w:rPr>
      </w:pPr>
      <w:r>
        <w:rPr>
          <w:rFonts w:hint="eastAsia"/>
          <w:b w:val="0"/>
          <w:bCs w:val="0"/>
        </w:rPr>
        <w:t>“两轴”：产业发展轴。依托白河村两条主干道，分别形成东西向村庄主要产业发展轴与南北向村庄次要发展轴。</w:t>
      </w:r>
    </w:p>
    <w:p>
      <w:pPr>
        <w:rPr>
          <w:b w:val="0"/>
          <w:bCs w:val="0"/>
        </w:rPr>
      </w:pPr>
      <w:r>
        <w:rPr>
          <w:rFonts w:hint="eastAsia"/>
          <w:b w:val="0"/>
          <w:bCs w:val="0"/>
        </w:rPr>
        <w:t>“五区”：现代农业区、小秋杂粮种植区、生态保育区、设施农业区、村落生活区。</w:t>
      </w:r>
    </w:p>
    <w:p>
      <w:pPr>
        <w:rPr>
          <w:b w:val="0"/>
          <w:bCs w:val="0"/>
        </w:rPr>
      </w:pPr>
      <w:r>
        <w:rPr>
          <w:rFonts w:hint="eastAsia"/>
          <w:b w:val="0"/>
          <w:bCs w:val="0"/>
        </w:rPr>
        <w:t>现代农业区是白河村主要用于种植的耕地，加快农业机械化、规模化、标准化力度，形成高效高产的特色玉米大豆套种区。小秋杂粮种植区是在白河村现有秋杂粮种植的基础上扩大种植规模，在村庄北部耕地形成小秋杂粮种植基地。生态保育区是位于村庄行政范围内的山地区域，在生态保护红线划定的基础上，建设白河村生态环境优美、自然风光秀丽的山水景观。设施农业区主要是在现状温室大棚种植的基础上，在一般耕地内建设日光温棚，建立村庄设施农业区，打造村庄特色果蔬种植产业。村落生活区主要以村庄居民点建设为基础，加快推动各组团的人居环境整治和基础设施建设，打造成美丽宜居村庄。</w:t>
      </w:r>
    </w:p>
    <w:p>
      <w:pPr>
        <w:rPr>
          <w:b w:val="0"/>
          <w:bCs w:val="0"/>
        </w:rPr>
      </w:pPr>
      <w:r>
        <w:rPr>
          <w:rFonts w:hint="eastAsia"/>
          <w:b w:val="0"/>
          <w:bCs w:val="0"/>
        </w:rPr>
        <w:t>“多点”：村庄联动发展节点，包括采摘大棚、集中养殖区、民宿、村庄活动广场等节点。</w:t>
      </w:r>
    </w:p>
    <w:p>
      <w:pPr>
        <w:pStyle w:val="11"/>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outlineLvl w:val="9"/>
        <w:rPr>
          <w:rFonts w:ascii="黑体" w:hAnsi="黑体" w:eastAsia="黑体" w:cs="黑体"/>
          <w:b w:val="0"/>
          <w:bCs w:val="0"/>
          <w:szCs w:val="32"/>
        </w:rPr>
      </w:pPr>
      <w:r>
        <w:rPr>
          <w:rFonts w:hint="eastAsia" w:ascii="黑体" w:hAnsi="黑体" w:eastAsia="黑体" w:cs="黑体"/>
          <w:b w:val="0"/>
          <w:bCs w:val="0"/>
          <w:szCs w:val="32"/>
          <w:lang w:eastAsia="zh-CN"/>
        </w:rPr>
        <w:t>五、</w:t>
      </w:r>
      <w:r>
        <w:rPr>
          <w:rFonts w:hint="eastAsia" w:ascii="黑体" w:hAnsi="黑体" w:eastAsia="黑体" w:cs="黑体"/>
          <w:b w:val="0"/>
          <w:bCs w:val="0"/>
          <w:szCs w:val="32"/>
        </w:rPr>
        <w:t>居民点建设规划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本次规划在现状的基础上，结合村域国土综合整治，对现有部分零散农宅进行整合，充分利用村庄空置建设用地，同时大力完善村庄公共服务设施和基础设施。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1）规划对伊河组、魏河组和苏沟组河道两侧自然灾害点的20户居民进行拆除搬迁，对阳洼里组和新寺湾组偏远分散零散的3户居民进行搬迁，为方便后期农户从事农业生产及农户耕作方便，以就近安置为原则，在下河组安置18户，其余5户在下河组与苏沟组居民点内利用空置用地进行插花安置。</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w:t>
      </w:r>
      <w:r>
        <w:rPr>
          <w:b w:val="0"/>
          <w:bCs w:val="0"/>
        </w:rPr>
        <w:t>2</w:t>
      </w:r>
      <w:r>
        <w:rPr>
          <w:rFonts w:hint="eastAsia"/>
          <w:b w:val="0"/>
          <w:bCs w:val="0"/>
        </w:rPr>
        <w:t>）完善村庄公共服务设施，提升改造村委会广场，在其他各村庄利用村庄内空地建设村庄公共活动广场7处，配套设置健身器材、景观廊架、篮球场、绿化、停车场等服务设施。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w:t>
      </w:r>
      <w:r>
        <w:rPr>
          <w:b w:val="0"/>
          <w:bCs w:val="0"/>
        </w:rPr>
        <w:t>3</w:t>
      </w:r>
      <w:r>
        <w:rPr>
          <w:rFonts w:hint="eastAsia"/>
          <w:b w:val="0"/>
          <w:bCs w:val="0"/>
        </w:rPr>
        <w:t>）结合村庄产业发展需要，对魏沟组设施温棚进行改造提升，在下河组、山河组及苏沟组居民点周围新建蔬菜大棚，靠近已有蔬菜基地集中布置，占地面积46公顷。。</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w:t>
      </w:r>
      <w:r>
        <w:rPr>
          <w:b w:val="0"/>
          <w:bCs w:val="0"/>
        </w:rPr>
        <w:t>4</w:t>
      </w:r>
      <w:r>
        <w:rPr>
          <w:rFonts w:hint="eastAsia"/>
          <w:b w:val="0"/>
          <w:bCs w:val="0"/>
        </w:rPr>
        <w:t>）本次规划将村庄内闲置院落改造为民宿，共改造院落5座。</w:t>
      </w:r>
    </w:p>
    <w:p>
      <w:pPr>
        <w:rPr>
          <w:b w:val="0"/>
          <w:bCs w:val="0"/>
        </w:rPr>
      </w:pPr>
      <w:r>
        <w:rPr>
          <w:b w:val="0"/>
          <w:bCs w:val="0"/>
        </w:rPr>
        <w:drawing>
          <wp:inline distT="0" distB="0" distL="0" distR="0">
            <wp:extent cx="5274310" cy="3200400"/>
            <wp:effectExtent l="0" t="0" r="2540" b="0"/>
            <wp:docPr id="5" name="图片 5" descr="I:\weix_download\WeChat Files\wxid_xfpcgjs8hazj21\FileStorage\Temp\1696820319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weix_download\WeChat Files\wxid_xfpcgjs8hazj21\FileStorage\Temp\169682031967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200661"/>
                    </a:xfrm>
                    <a:prstGeom prst="rect">
                      <a:avLst/>
                    </a:prstGeom>
                    <a:noFill/>
                    <a:ln>
                      <a:noFill/>
                    </a:ln>
                  </pic:spPr>
                </pic:pic>
              </a:graphicData>
            </a:graphic>
          </wp:inline>
        </w:drawing>
      </w:r>
    </w:p>
    <w:p>
      <w:pPr>
        <w:pStyle w:val="11"/>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outlineLvl w:val="9"/>
        <w:rPr>
          <w:rFonts w:ascii="黑体" w:hAnsi="黑体" w:eastAsia="黑体" w:cs="黑体"/>
          <w:b w:val="0"/>
          <w:bCs w:val="0"/>
          <w:szCs w:val="32"/>
        </w:rPr>
      </w:pPr>
      <w:bookmarkStart w:id="2" w:name="_GoBack"/>
      <w:r>
        <w:rPr>
          <w:rFonts w:hint="eastAsia" w:ascii="黑体" w:hAnsi="黑体" w:eastAsia="黑体" w:cs="黑体"/>
          <w:b w:val="0"/>
          <w:bCs w:val="0"/>
          <w:szCs w:val="32"/>
          <w:lang w:eastAsia="zh-CN"/>
        </w:rPr>
        <w:t>六、</w:t>
      </w:r>
      <w:r>
        <w:rPr>
          <w:rFonts w:ascii="黑体" w:hAnsi="黑体" w:eastAsia="黑体" w:cs="黑体"/>
          <w:b w:val="0"/>
          <w:bCs w:val="0"/>
          <w:szCs w:val="32"/>
        </w:rPr>
        <w:t>基础设施与公共服务设施规划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道路交通规划包括梳理路网结构，硬化尚未硬化道路，打通村庄断头路，完善道路交通体系，基础设施规划主要包括补齐基础设施短板，敷设污水管网，推动清洁能源改造，配套完善环卫设施等基础设施。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公共服务设施按照“缺什么补什么”策略，结合村民意愿，规划重点以配置活动场地、商业服务设施等，完善村庄公共服务设施，结合村庄空地在村庄内规划新增7处公共活动场地。公共活动场地均位于各自然组中心位置或人口密集的位置，在活动广场布设篮球场、乒乓球台和安装健身器材，作为附近村民日常交流游憩的公共场地。</w:t>
      </w:r>
    </w:p>
    <w:p>
      <w:pPr>
        <w:pStyle w:val="11"/>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outlineLvl w:val="9"/>
        <w:rPr>
          <w:rFonts w:ascii="黑体" w:hAnsi="黑体" w:eastAsia="黑体" w:cs="黑体"/>
          <w:b w:val="0"/>
          <w:bCs w:val="0"/>
          <w:szCs w:val="32"/>
        </w:rPr>
      </w:pPr>
      <w:r>
        <w:rPr>
          <w:rFonts w:hint="eastAsia" w:ascii="黑体" w:hAnsi="黑体" w:eastAsia="黑体" w:cs="黑体"/>
          <w:b w:val="0"/>
          <w:bCs w:val="0"/>
          <w:szCs w:val="32"/>
          <w:lang w:eastAsia="zh-CN"/>
        </w:rPr>
        <w:t>七、</w:t>
      </w:r>
      <w:r>
        <w:rPr>
          <w:rFonts w:hint="eastAsia" w:ascii="黑体" w:hAnsi="黑体" w:eastAsia="黑体" w:cs="黑体"/>
          <w:b w:val="0"/>
          <w:bCs w:val="0"/>
          <w:szCs w:val="32"/>
        </w:rPr>
        <w:t>近期行动计划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b w:val="0"/>
          <w:bCs w:val="0"/>
        </w:rPr>
      </w:pPr>
      <w:r>
        <w:rPr>
          <w:rFonts w:hint="eastAsia"/>
          <w:b w:val="0"/>
          <w:bCs w:val="0"/>
        </w:rPr>
        <w:t>白河村近期内重点建设项目30个，涉及基础设施、公共服务设施、居民点建设、产业发展和国土综合整治与生态修复，建设总投资3559万元。</w:t>
      </w:r>
    </w:p>
    <w:bookmarkEnd w:id="2"/>
    <w:p>
      <w:pPr>
        <w:ind w:firstLine="0" w:firstLineChars="0"/>
        <w:jc w:val="center"/>
        <w:rPr>
          <w:b w:val="0"/>
          <w:bCs w:val="0"/>
          <w:sz w:val="28"/>
        </w:rPr>
      </w:pPr>
      <w:r>
        <w:rPr>
          <w:rFonts w:hint="eastAsia"/>
          <w:b w:val="0"/>
          <w:bCs w:val="0"/>
          <w:sz w:val="28"/>
        </w:rPr>
        <w:t>近期建设项目一览表</w:t>
      </w:r>
    </w:p>
    <w:tbl>
      <w:tblPr>
        <w:tblStyle w:val="9"/>
        <w:tblW w:w="11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0"/>
        <w:gridCol w:w="745"/>
        <w:gridCol w:w="1215"/>
        <w:gridCol w:w="5730"/>
        <w:gridCol w:w="990"/>
        <w:gridCol w:w="111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序号</w:t>
            </w:r>
          </w:p>
        </w:tc>
        <w:tc>
          <w:tcPr>
            <w:tcW w:w="74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类别</w:t>
            </w: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项目</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建设内容</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投资估算（万元）</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资金来源</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建设时序（年）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w:t>
            </w:r>
          </w:p>
        </w:tc>
        <w:tc>
          <w:tcPr>
            <w:tcW w:w="74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基础设施</w:t>
            </w:r>
          </w:p>
        </w:tc>
        <w:tc>
          <w:tcPr>
            <w:tcW w:w="121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道路交通</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道路拓宽工程：对沟周路进行拓宽，将道路路面拓宽至5.5米，对该道路破损严重的路段进行维修，并在道路南侧布设排水渠，本次沟周路拓宽总长度为4370米，硬化面积6555平方米，布设排水渠长度4150米。</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120.00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道路硬化工程：本次规划硬化村庄干道长度7254米，路面宽4.0米，硬化面积29016平方米</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410.00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2023-2025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3</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路灯安装工程：规划在白河村村庄集中居住区主要道路单侧布置太阳能路灯，居民点内部安装每5户/盏的标准配置太阳能路灯，过境道路按照每40-50米间距布设，规划共布设路灯100盏。</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50.00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衔接补助资金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4</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给排水设施</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规划在白河村敷设污水管网约11694米，其中D300-D400排水支管敷设长度9540米，D500-D600排水干管敷设长度2154米。</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760.00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5</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电力通信线路</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敷设通信线路4380米，实现光纤入户。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150.00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企业投资</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6</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规划在新寺湾地势较高处新建5G基站一座。</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40.00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企业投资</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7</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环卫设施</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根据白河村居民点现状布局，每10户布设一个3.5方勾臂式垃圾桶，共布设约40个。</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4.00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政府财政项目补助资金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8</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规划期内结合村庄产业设施及公共活动场地新建水冲式公共厕所2座，位于村庄公共活动广场内与人口密集的位置，每座建筑面积60平方米</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60.00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9</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规划对白河村未完成农户改厕的住户实施卫生厕所改造工程，涉及住户100户。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50.00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地方配套资金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10</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规划在白河村中部建设1座村级垃圾转运站，面积64平方米，配套完善相关附属设施。</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11</w:t>
            </w:r>
          </w:p>
        </w:tc>
        <w:tc>
          <w:tcPr>
            <w:tcW w:w="74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公共服务设施</w:t>
            </w: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村委会提升改造</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规划对村委会进行提升改造，对建筑进行加固，提高建筑质量，完善内部配套设施，对场地硬化进行修复，提升村委会的服务能力，保障服务质量。</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35.00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12</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老年饭桌提升改造</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规划保留白河村村委会内的老年饭桌，建筑面积110.68平方米，规划期内对村庄老年饭桌进行提升改造，切实把农村老年人日间照料服务落到实处。</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35.00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13</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卫生室改造提升</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规划保留村庄卫生室，对村庄卫生室进行改造提升，增强医疗能力。</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40.00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14</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新建幼儿园</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以现状小学为基础，新建幼儿园一座，建筑面积332平方米，规划改造空置校舍两座，设置大、中、小3个班。实现白河村小学和幼儿园一体化。</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50.00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地方配套资金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2024-2025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15</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活动广场</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新建公共活动场地3处，且面积大小不等，总占地面积6700平方米。规划新建公共活动场地利用现状农宅之间的空地结合居民点进行建设，配建健身器材、休闲木亭和廊架等设计，布设篮球场和景观小品等，形成功能健全、环境优美的综合活动场地，满足周边村民的日常休闲活动需求。</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140.00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县政府整合资金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2022—2023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16</w:t>
            </w:r>
          </w:p>
        </w:tc>
        <w:tc>
          <w:tcPr>
            <w:tcW w:w="74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居民点建设</w:t>
            </w: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拆除</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规划拆除自然灾害点住户与偏远住户共计10户。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5.00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地方政府配套及村民自筹</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17</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新建</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规划对除后的住户进行就近安置，新建住宅10户。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地方政府配套及村民自筹</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18</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河道整治工程</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村庄河道整治提升，过水桥建设，河道整治</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50.00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19</w:t>
            </w:r>
          </w:p>
        </w:tc>
        <w:tc>
          <w:tcPr>
            <w:tcW w:w="74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国土综合整治和生态保护修复</w:t>
            </w:r>
          </w:p>
        </w:tc>
        <w:tc>
          <w:tcPr>
            <w:tcW w:w="121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建设用地整治</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闲置、散乱农村宅基地腾退复垦整治面积7.25公顷，主要是对白河村自然灾害点和零散住户搬迁安置后空闲的宅基地根据就近原则复垦为耕地。</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100.00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对零散偏远的农村宅基地或坡度过大等难以利用的建设用地修复为林地的面积为3.55公顷、修复为草地的面积为0.21公顷。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21</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高标准农田建设</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对村域范围内划定的所有永久基本农田进行高标准农田建设，对耕地进行土地平整，配建农业服务设施和灌溉设施，建设面积454.72公顷。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340.00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22</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土地开发整理</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对低效林草地、农业设施建设用地进行有效整理，整合优化资源，整治形成耕地，整理面积6.08公顷。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100.00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自治区财政支持+地方配套</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2023-2025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23</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水体治理与修复</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对村庄内的河流进行水体生态治理和修复，增加地表植被覆盖度，加快推进生态河岸建设，新建护岸、河道疏浚、河岸绿化、桥梁整治，实现河道治理长治久清、水清岸绿。本次水体生态修复面积14.36公顷。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120.00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2024—2025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24</w:t>
            </w:r>
          </w:p>
        </w:tc>
        <w:tc>
          <w:tcPr>
            <w:tcW w:w="74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产业发展规划</w:t>
            </w: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养殖业</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规划新建养殖区一处，位于韩寺组北侧，占地面积12813.5平方米，配套建设粪污处理中心，用做肉牛养殖过程中的粪污处理。</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500.00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企业+村集体</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2023—2025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25</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restart"/>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农业</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加快推动村庄高标准农田建设，扩大白河村套种玉米大豆种植规模，加快推动节水农业建设，特色农业机械化、标准化种植玉米和大豆200公顷。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150.00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村集体</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26</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vMerge w:val="continue"/>
            <w:vAlign w:val="center"/>
          </w:tcPr>
          <w:p>
            <w:pPr>
              <w:pStyle w:val="18"/>
              <w:rPr>
                <w:rFonts w:hint="eastAsia" w:ascii="仿宋_GB2312" w:hAnsi="仿宋_GB2312" w:eastAsia="仿宋_GB2312" w:cs="仿宋_GB2312"/>
                <w:b w:val="0"/>
                <w:bCs w:val="0"/>
                <w:sz w:val="22"/>
                <w:szCs w:val="22"/>
              </w:rPr>
            </w:pP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以白河村现有小秋杂粮种植为基础，结合农用地整治，整合现有耕地资源，利用村庄优质耕地资源，扩大小秋杂粮种植规模，规划种植小秋杂粮100公顷。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村集体</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2023-2025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27</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设施农业</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规划保留白河村魏河组现状设施温棚，在下河组、上河组及苏沟组新建日光温棚，扩大日光温棚规模，完善生产设施，建成设施农业面积达到50公顷。</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25.00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村集体</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28</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亲子采摘区</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以村庄现状设施农业为基础，逐步在魏河组和苏沟组建设采摘大棚，建立村庄精品果类采摘园和生态观光园，建立亲子采摘体验区</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30.00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地方政府配套</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29</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民宿</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将村庄内闲置院落改造为民宿，共改造院落3座。</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45.00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企业+村集体</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4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30</w:t>
            </w:r>
          </w:p>
        </w:tc>
        <w:tc>
          <w:tcPr>
            <w:tcW w:w="745" w:type="dxa"/>
            <w:vMerge w:val="continue"/>
            <w:vAlign w:val="center"/>
          </w:tcPr>
          <w:p>
            <w:pPr>
              <w:pStyle w:val="18"/>
              <w:rPr>
                <w:rFonts w:hint="eastAsia" w:ascii="仿宋_GB2312" w:hAnsi="仿宋_GB2312" w:eastAsia="仿宋_GB2312" w:cs="仿宋_GB2312"/>
                <w:b w:val="0"/>
                <w:bCs w:val="0"/>
                <w:sz w:val="22"/>
                <w:szCs w:val="22"/>
              </w:rPr>
            </w:pPr>
          </w:p>
        </w:tc>
        <w:tc>
          <w:tcPr>
            <w:tcW w:w="1215"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苏沟水库加固</w:t>
            </w:r>
          </w:p>
        </w:tc>
        <w:tc>
          <w:tcPr>
            <w:tcW w:w="573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对苏沟水库进行加固维修，提升蓄水能力，同时配套建设灌溉引水渠2240米。</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100.00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专项资金</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2023-2025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8120" w:type="dxa"/>
            <w:gridSpan w:val="4"/>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合计</w:t>
            </w:r>
          </w:p>
        </w:tc>
        <w:tc>
          <w:tcPr>
            <w:tcW w:w="99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xml:space="preserve">3559.00 </w:t>
            </w:r>
          </w:p>
        </w:tc>
        <w:tc>
          <w:tcPr>
            <w:tcW w:w="1110"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c>
          <w:tcPr>
            <w:tcW w:w="1046" w:type="dxa"/>
            <w:shd w:val="clear" w:color="auto" w:fill="auto"/>
            <w:vAlign w:val="center"/>
          </w:tcPr>
          <w:p>
            <w:pPr>
              <w:pStyle w:val="18"/>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rPr>
              <w:t>　</w:t>
            </w:r>
          </w:p>
        </w:tc>
      </w:tr>
    </w:tbl>
    <w:p>
      <w:pPr>
        <w:ind w:left="0" w:leftChars="0" w:firstLine="0" w:firstLineChars="0"/>
        <w:rPr>
          <w:b w:val="0"/>
          <w:bCs w:val="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351B5"/>
    <w:multiLevelType w:val="multilevel"/>
    <w:tmpl w:val="5AB351B5"/>
    <w:lvl w:ilvl="0" w:tentative="0">
      <w:start w:val="1"/>
      <w:numFmt w:val="chineseCountingThousand"/>
      <w:pStyle w:val="2"/>
      <w:suff w:val="space"/>
      <w:lvlText w:val="第%1章"/>
      <w:lvlJc w:val="left"/>
      <w:pPr>
        <w:ind w:left="0" w:firstLine="0"/>
      </w:pPr>
      <w:rPr>
        <w:rFonts w:hint="eastAsia" w:eastAsia="宋体"/>
        <w:sz w:val="36"/>
        <w:lang w:val="en-US"/>
      </w:rPr>
    </w:lvl>
    <w:lvl w:ilvl="1" w:tentative="0">
      <w:start w:val="1"/>
      <w:numFmt w:val="decimal"/>
      <w:pStyle w:val="3"/>
      <w:isLgl/>
      <w:suff w:val="space"/>
      <w:lvlText w:val="%1.%2"/>
      <w:lvlJc w:val="left"/>
      <w:pPr>
        <w:ind w:left="0" w:firstLine="0"/>
      </w:pPr>
      <w:rPr>
        <w:rFonts w:hint="eastAsia"/>
        <w:i w:val="0"/>
        <w:iCs w:val="0"/>
        <w:caps w:val="0"/>
        <w:smallCaps w:val="0"/>
        <w:strike w:val="0"/>
        <w:dstrike w:val="0"/>
        <w:vanish w:val="0"/>
        <w:color w:val="00000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isLgl/>
      <w:lvlText w:val="%1.%2.%3"/>
      <w:lvlJc w:val="left"/>
      <w:pPr>
        <w:ind w:left="0" w:firstLine="624"/>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suff w:val="nothing"/>
      <w:lvlText w:val="%4、"/>
      <w:lvlJc w:val="left"/>
      <w:pPr>
        <w:ind w:left="0" w:firstLine="68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B9135A3"/>
    <w:multiLevelType w:val="multilevel"/>
    <w:tmpl w:val="7B9135A3"/>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xMjQwMzI1MTZjZTY5Mjk5Y2IwMTZkODRlMmVjM2UifQ=="/>
  </w:docVars>
  <w:rsids>
    <w:rsidRoot w:val="00783EC8"/>
    <w:rsid w:val="00057489"/>
    <w:rsid w:val="000C66E6"/>
    <w:rsid w:val="000E71D5"/>
    <w:rsid w:val="001D50E6"/>
    <w:rsid w:val="00210A61"/>
    <w:rsid w:val="00423D33"/>
    <w:rsid w:val="004345E4"/>
    <w:rsid w:val="00470119"/>
    <w:rsid w:val="00540701"/>
    <w:rsid w:val="00597D6D"/>
    <w:rsid w:val="00604F52"/>
    <w:rsid w:val="006666DA"/>
    <w:rsid w:val="007347AB"/>
    <w:rsid w:val="00745A04"/>
    <w:rsid w:val="00783EC8"/>
    <w:rsid w:val="007964D6"/>
    <w:rsid w:val="007C1B15"/>
    <w:rsid w:val="00883023"/>
    <w:rsid w:val="008A4A34"/>
    <w:rsid w:val="008C44B3"/>
    <w:rsid w:val="00993981"/>
    <w:rsid w:val="009D4FBF"/>
    <w:rsid w:val="009F7AC8"/>
    <w:rsid w:val="00A96526"/>
    <w:rsid w:val="00B02986"/>
    <w:rsid w:val="00B23710"/>
    <w:rsid w:val="00C17FD0"/>
    <w:rsid w:val="00C844C9"/>
    <w:rsid w:val="00CA0AEF"/>
    <w:rsid w:val="00CD76FB"/>
    <w:rsid w:val="00D448CC"/>
    <w:rsid w:val="00DC66BE"/>
    <w:rsid w:val="00DE15CF"/>
    <w:rsid w:val="00DE331E"/>
    <w:rsid w:val="00E836C9"/>
    <w:rsid w:val="00EC1046"/>
    <w:rsid w:val="00F14D96"/>
    <w:rsid w:val="00F348F2"/>
    <w:rsid w:val="00F6599D"/>
    <w:rsid w:val="00FC42F8"/>
    <w:rsid w:val="00FC75BF"/>
    <w:rsid w:val="00FE1433"/>
    <w:rsid w:val="0A960E3D"/>
    <w:rsid w:val="10F571FF"/>
    <w:rsid w:val="16D60879"/>
    <w:rsid w:val="1C900E5F"/>
    <w:rsid w:val="2334737E"/>
    <w:rsid w:val="292D0766"/>
    <w:rsid w:val="30BB2AFC"/>
    <w:rsid w:val="39B73C77"/>
    <w:rsid w:val="3DB94ADE"/>
    <w:rsid w:val="3E7A5DA4"/>
    <w:rsid w:val="44E73A68"/>
    <w:rsid w:val="45EA158F"/>
    <w:rsid w:val="46ED1809"/>
    <w:rsid w:val="52B64161"/>
    <w:rsid w:val="58E93DFA"/>
    <w:rsid w:val="5A6951F3"/>
    <w:rsid w:val="62DB0C58"/>
    <w:rsid w:val="70E707C8"/>
    <w:rsid w:val="7905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2"/>
    <w:qFormat/>
    <w:uiPriority w:val="9"/>
    <w:pPr>
      <w:keepNext/>
      <w:keepLines/>
      <w:numPr>
        <w:ilvl w:val="0"/>
        <w:numId w:val="1"/>
      </w:numPr>
      <w:spacing w:before="240" w:after="240" w:line="360" w:lineRule="auto"/>
      <w:jc w:val="center"/>
      <w:outlineLvl w:val="0"/>
    </w:pPr>
    <w:rPr>
      <w:rFonts w:cs="Times New Roman"/>
      <w:b/>
      <w:bCs/>
      <w:kern w:val="44"/>
      <w:sz w:val="36"/>
      <w:szCs w:val="44"/>
    </w:rPr>
  </w:style>
  <w:style w:type="paragraph" w:styleId="3">
    <w:name w:val="heading 2"/>
    <w:basedOn w:val="1"/>
    <w:next w:val="1"/>
    <w:link w:val="13"/>
    <w:unhideWhenUsed/>
    <w:qFormat/>
    <w:uiPriority w:val="9"/>
    <w:pPr>
      <w:keepNext/>
      <w:keepLines/>
      <w:numPr>
        <w:ilvl w:val="1"/>
        <w:numId w:val="1"/>
      </w:numPr>
      <w:spacing w:before="240" w:line="360" w:lineRule="auto"/>
      <w:outlineLvl w:val="1"/>
    </w:pPr>
    <w:rPr>
      <w:rFonts w:asciiTheme="majorHAnsi" w:hAnsiTheme="majorHAnsi" w:eastAsiaTheme="majorEastAsia" w:cstheme="majorBidi"/>
      <w:b/>
      <w:bCs/>
      <w:szCs w:val="32"/>
    </w:rPr>
  </w:style>
  <w:style w:type="paragraph" w:styleId="4">
    <w:name w:val="heading 3"/>
    <w:basedOn w:val="1"/>
    <w:next w:val="1"/>
    <w:link w:val="14"/>
    <w:unhideWhenUsed/>
    <w:qFormat/>
    <w:uiPriority w:val="9"/>
    <w:pPr>
      <w:keepNext/>
      <w:keepLines/>
      <w:numPr>
        <w:ilvl w:val="2"/>
        <w:numId w:val="1"/>
      </w:numPr>
      <w:spacing w:line="360" w:lineRule="auto"/>
      <w:ind w:firstLine="0"/>
      <w:outlineLvl w:val="2"/>
    </w:pPr>
    <w:rPr>
      <w:rFonts w:cs="Times New Roman"/>
      <w:b/>
      <w:bCs/>
      <w:sz w:val="28"/>
      <w:szCs w:val="32"/>
    </w:rPr>
  </w:style>
  <w:style w:type="paragraph" w:styleId="5">
    <w:name w:val="heading 4"/>
    <w:basedOn w:val="1"/>
    <w:next w:val="1"/>
    <w:link w:val="15"/>
    <w:unhideWhenUsed/>
    <w:qFormat/>
    <w:uiPriority w:val="9"/>
    <w:pPr>
      <w:keepNext/>
      <w:keepLines/>
      <w:numPr>
        <w:ilvl w:val="3"/>
        <w:numId w:val="1"/>
      </w:numPr>
      <w:spacing w:line="384" w:lineRule="auto"/>
      <w:ind w:firstLine="0"/>
      <w:outlineLvl w:val="3"/>
    </w:pPr>
    <w:rPr>
      <w:rFonts w:asciiTheme="majorHAnsi" w:hAnsiTheme="majorHAnsi" w:eastAsiaTheme="majorEastAsia" w:cstheme="majorBidi"/>
      <w:b/>
      <w:bCs/>
      <w:sz w:val="24"/>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pPr>
  </w:style>
  <w:style w:type="character" w:customStyle="1" w:styleId="12">
    <w:name w:val="标题 1 Char"/>
    <w:basedOn w:val="8"/>
    <w:link w:val="2"/>
    <w:qFormat/>
    <w:uiPriority w:val="9"/>
    <w:rPr>
      <w:rFonts w:ascii="Times New Roman" w:hAnsi="Times New Roman" w:cs="Times New Roman"/>
      <w:b/>
      <w:bCs/>
      <w:kern w:val="44"/>
      <w:sz w:val="36"/>
      <w:szCs w:val="44"/>
    </w:rPr>
  </w:style>
  <w:style w:type="character" w:customStyle="1" w:styleId="13">
    <w:name w:val="标题 2 Char"/>
    <w:basedOn w:val="8"/>
    <w:link w:val="3"/>
    <w:qFormat/>
    <w:uiPriority w:val="9"/>
    <w:rPr>
      <w:rFonts w:asciiTheme="majorHAnsi" w:hAnsiTheme="majorHAnsi" w:eastAsiaTheme="majorEastAsia" w:cstheme="majorBidi"/>
      <w:b/>
      <w:bCs/>
      <w:sz w:val="32"/>
      <w:szCs w:val="32"/>
    </w:rPr>
  </w:style>
  <w:style w:type="character" w:customStyle="1" w:styleId="14">
    <w:name w:val="标题 3 Char"/>
    <w:basedOn w:val="8"/>
    <w:link w:val="4"/>
    <w:qFormat/>
    <w:uiPriority w:val="9"/>
    <w:rPr>
      <w:rFonts w:ascii="Times New Roman" w:hAnsi="Times New Roman" w:cs="Times New Roman"/>
      <w:b/>
      <w:bCs/>
      <w:sz w:val="28"/>
      <w:szCs w:val="32"/>
    </w:rPr>
  </w:style>
  <w:style w:type="character" w:customStyle="1" w:styleId="15">
    <w:name w:val="标题 4 Char"/>
    <w:basedOn w:val="8"/>
    <w:link w:val="5"/>
    <w:qFormat/>
    <w:uiPriority w:val="9"/>
    <w:rPr>
      <w:rFonts w:asciiTheme="majorHAnsi" w:hAnsiTheme="majorHAnsi" w:eastAsiaTheme="majorEastAsia" w:cstheme="majorBidi"/>
      <w:b/>
      <w:bCs/>
      <w:sz w:val="24"/>
      <w:szCs w:val="28"/>
    </w:rPr>
  </w:style>
  <w:style w:type="paragraph" w:customStyle="1" w:styleId="16">
    <w:name w:val="图表名"/>
    <w:basedOn w:val="1"/>
    <w:link w:val="17"/>
    <w:qFormat/>
    <w:uiPriority w:val="0"/>
    <w:pPr>
      <w:jc w:val="center"/>
    </w:pPr>
    <w:rPr>
      <w:rFonts w:cs="Times New Roman"/>
      <w:b/>
      <w:szCs w:val="21"/>
    </w:rPr>
  </w:style>
  <w:style w:type="character" w:customStyle="1" w:styleId="17">
    <w:name w:val="图表名 Char"/>
    <w:basedOn w:val="8"/>
    <w:link w:val="16"/>
    <w:qFormat/>
    <w:uiPriority w:val="0"/>
    <w:rPr>
      <w:rFonts w:ascii="Times New Roman" w:hAnsi="Times New Roman" w:cs="Times New Roman"/>
      <w:b/>
      <w:szCs w:val="21"/>
    </w:rPr>
  </w:style>
  <w:style w:type="paragraph" w:customStyle="1" w:styleId="18">
    <w:name w:val="表格"/>
    <w:basedOn w:val="19"/>
    <w:link w:val="20"/>
    <w:qFormat/>
    <w:uiPriority w:val="0"/>
    <w:pPr>
      <w:jc w:val="center"/>
    </w:pPr>
    <w:rPr>
      <w:szCs w:val="21"/>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表格 Char"/>
    <w:basedOn w:val="8"/>
    <w:link w:val="18"/>
    <w:qFormat/>
    <w:uiPriority w:val="0"/>
    <w:rPr>
      <w:szCs w:val="21"/>
    </w:rPr>
  </w:style>
  <w:style w:type="character" w:customStyle="1" w:styleId="21">
    <w:name w:val="页眉 Char"/>
    <w:basedOn w:val="8"/>
    <w:link w:val="7"/>
    <w:qFormat/>
    <w:uiPriority w:val="99"/>
    <w:rPr>
      <w:sz w:val="18"/>
      <w:szCs w:val="18"/>
    </w:rPr>
  </w:style>
  <w:style w:type="character" w:customStyle="1" w:styleId="22">
    <w:name w:val="页脚 Char"/>
    <w:basedOn w:val="8"/>
    <w:link w:val="6"/>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905</Words>
  <Characters>5162</Characters>
  <Lines>43</Lines>
  <Paragraphs>12</Paragraphs>
  <TotalTime>3</TotalTime>
  <ScaleCrop>false</ScaleCrop>
  <LinksUpToDate>false</LinksUpToDate>
  <CharactersWithSpaces>6055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2023-09-17T10:24:00Z</dcterms:created>
  <dc:creator>LYL</dc:creator>
  <cp:lastModifiedBy>彭阳局信息员</cp:lastModifiedBy>
  <dcterms:modified xsi:type="dcterms:W3CDTF">2023-11-10T08:19:56Z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E596A7C3F7B14F50A40B3ADDDB697EBC_12</vt:lpwstr>
  </property>
</Properties>
</file>