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彭阳县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古城镇乃河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村庄规划（2022-2035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规划范围与规划期限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村村庄规划编制的范围包括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行政村所有管辖范围，涉及土地面积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989.32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公顷。规划期限为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年，其中规划基期年为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年；近期为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年；远期为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2026-2035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目标定位与规模确定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</w:t>
      </w:r>
      <w:r>
        <w:rPr>
          <w:rFonts w:ascii="仿宋_GB2312" w:hAnsi="仿宋_GB2312" w:eastAsia="仿宋_GB2312" w:cs="仿宋_GB2312"/>
          <w:b w:val="0"/>
          <w:bCs w:val="0"/>
          <w:sz w:val="32"/>
          <w:szCs w:val="32"/>
        </w:rPr>
        <w:t>村庄分类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根据《彭阳县国土空间总体规划（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2021-2035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年）》的要求，确定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村行政村整体主导类型为“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集聚提升类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2、村庄定位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将乃河村打造为以农业种植、特色养殖为主导产业，辅以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林下经济、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产品加工，融合地域特色，打造“特色种养示范村”。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国土空间总体格局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村本次规划国土总面积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989.32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公顷，本次规划落实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村永久基本农田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371.35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生态保护红线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331.93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。根据全国重点文物保护单位记录档案，落实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洼村历史文化保护范围面积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10.87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公顷，建设控制地带面积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8.63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公顷。</w:t>
      </w:r>
    </w:p>
    <w:p>
      <w:pPr>
        <w:ind w:firstLine="48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480"/>
        <w:jc w:val="center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ind w:firstLine="48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三区三线面积统计表</w:t>
      </w:r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3287"/>
        <w:gridCol w:w="1613"/>
        <w:gridCol w:w="2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89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空间类型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面积</w:t>
            </w:r>
            <w:r>
              <w:rPr>
                <w:rFonts w:ascii="仿宋" w:hAnsi="仿宋" w:eastAsia="仿宋" w:cs="Calibri"/>
              </w:rPr>
              <w:t>/</w:t>
            </w:r>
            <w:r>
              <w:rPr>
                <w:rFonts w:hint="eastAsia" w:ascii="仿宋" w:hAnsi="仿宋" w:eastAsia="仿宋"/>
              </w:rPr>
              <w:t>公顷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占村域面积比重</w:t>
            </w:r>
            <w:r>
              <w:rPr>
                <w:rFonts w:ascii="仿宋" w:hAnsi="仿宋" w:eastAsia="仿宋" w:cs="Calibri"/>
              </w:rPr>
              <w:t>/%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89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农业空间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hint="default" w:ascii="仿宋" w:hAnsi="仿宋" w:eastAsia="仿宋" w:cs="Calibri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466.78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47.18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2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永久基本农田保护红线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hint="default" w:ascii="仿宋" w:hAnsi="仿宋" w:eastAsia="仿宋" w:cs="Calibri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371.35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37.54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89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建设空间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61.59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hint="default" w:ascii="仿宋" w:hAnsi="仿宋" w:eastAsia="仿宋" w:cs="Calibri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6.32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2" w:type="dxa"/>
            <w:vMerge w:val="restart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其中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村庄建设边界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38.34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3.88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2" w:type="dxa"/>
            <w:vMerge w:val="continue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规划留白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1.01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0.10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89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生态空间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hint="default" w:ascii="仿宋" w:hAnsi="仿宋" w:eastAsia="仿宋" w:cs="Calibri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460.95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56.70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902" w:type="dxa"/>
            <w:vAlign w:val="center"/>
          </w:tcPr>
          <w:p>
            <w:pPr>
              <w:pStyle w:val="11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其中</w:t>
            </w:r>
          </w:p>
        </w:tc>
        <w:tc>
          <w:tcPr>
            <w:tcW w:w="3287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生态保护红线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hint="default" w:ascii="仿宋" w:hAnsi="仿宋" w:eastAsia="仿宋" w:cs="Calibri"/>
                <w:lang w:val="en-US" w:eastAsia="zh-CN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331.93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33.55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189" w:type="dxa"/>
            <w:gridSpan w:val="2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村域面积</w:t>
            </w:r>
          </w:p>
        </w:tc>
        <w:tc>
          <w:tcPr>
            <w:tcW w:w="1613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hint="eastAsia" w:ascii="仿宋" w:hAnsi="仿宋" w:eastAsia="仿宋" w:cs="Calibri"/>
                <w:lang w:val="en-US" w:eastAsia="zh-CN"/>
              </w:rPr>
              <w:t>989.32</w:t>
            </w:r>
            <w:r>
              <w:rPr>
                <w:rFonts w:ascii="仿宋" w:hAnsi="仿宋" w:eastAsia="仿宋" w:cs="Calibri"/>
              </w:rPr>
              <w:t xml:space="preserve"> </w:t>
            </w:r>
          </w:p>
        </w:tc>
        <w:tc>
          <w:tcPr>
            <w:tcW w:w="2720" w:type="dxa"/>
            <w:shd w:val="clear" w:color="auto" w:fill="auto"/>
            <w:vAlign w:val="center"/>
          </w:tcPr>
          <w:p>
            <w:pPr>
              <w:pStyle w:val="11"/>
              <w:rPr>
                <w:rFonts w:ascii="仿宋" w:hAnsi="仿宋" w:eastAsia="仿宋" w:cs="Calibri"/>
              </w:rPr>
            </w:pPr>
            <w:r>
              <w:rPr>
                <w:rFonts w:ascii="仿宋" w:hAnsi="仿宋" w:eastAsia="仿宋" w:cs="Calibri"/>
              </w:rPr>
              <w:t xml:space="preserve">100.00 </w:t>
            </w:r>
          </w:p>
        </w:tc>
      </w:tr>
    </w:tbl>
    <w:p>
      <w:pPr>
        <w:ind w:firstLine="480"/>
        <w:jc w:val="center"/>
        <w:rPr>
          <w:rFonts w:hint="eastAsia" w:ascii="Times New Roman" w:hAnsi="Times New Roman" w:eastAsia="宋体" w:cs="Times New Roman"/>
          <w:b/>
          <w:sz w:val="24"/>
          <w:szCs w:val="21"/>
        </w:rPr>
      </w:pP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Toc109978909"/>
      <w:bookmarkStart w:id="1" w:name="_Toc141627608"/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产业</w:t>
      </w:r>
      <w:bookmarkEnd w:id="0"/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（1）特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色产业发展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全面落实特色优势产业扶持政策，综合运用农业各类补贴，巩固村庄特色产业基础，按照“一村一品”的思路，引导特色优势产业走现代农业发展之路。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产业融合发展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以产业链延伸、产业范围拓展、产业功能转型为核心，推动一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二三产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产业融合发展，按照“互联网+”“农业+”等模式，引导农村电商等新产业新业态发展，不断拓展农业附加值空间。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经营主体培育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通过农村土地经营权入股等方式，发展适度规模经营，促进土地生产要素向现代农业集中，向农业经营主体集中，引导龙头企业、合作社、家庭农场、种养大户不断发展壮大，提高农业的集约化、现代化水平。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结合村庄现有条件及产业特色，至规划期末，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乃河村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形成“一心、一带、四片区”的产业发展布局，对村庄产业功能分区具体如下：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一心：以村委会、沿街商业为中心的公共服务中心。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一带：集聚发展带，依托青彭公路集聚发展，种植景观苗木，形成集特色乡村建筑与设施、田园风貌与自然景观、特色农产品等元素共集聚的村庄核心发展带。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四片区：规划以村庄现状格局为基础，通过产业整合形成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林下经济起步区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养殖示范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乐活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宜居区和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传统作物种植示范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区。</w:t>
      </w:r>
    </w:p>
    <w:p>
      <w:pPr>
        <w:pStyle w:val="10"/>
        <w:numPr>
          <w:ilvl w:val="0"/>
          <w:numId w:val="0"/>
        </w:numPr>
        <w:ind w:leftChars="0"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历史文化传承与保护</w:t>
      </w:r>
    </w:p>
    <w:p>
      <w:pPr>
        <w:ind w:firstLine="643" w:firstLineChars="200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1、保护区划定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乃河村海堡荣墓为县级重点文物保护单位，本村划入历史文化范围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10.87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公顷，历史文化保护要素包含海堡荣墓，其中核心保护区面积为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0.28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公顷，控制地带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8.63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公顷，文物范围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1.96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公顷。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保护范围：海家祖坟边界四周各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米内为保护范围。保护范围外各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米为建设控制地带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ascii="黑体" w:hAnsi="黑体" w:eastAsia="黑体" w:cs="黑体"/>
          <w:b w:val="0"/>
          <w:bCs w:val="0"/>
          <w:sz w:val="32"/>
          <w:szCs w:val="32"/>
        </w:rPr>
        <w:t>基础设施与公共服务设施规划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1、基础设施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（1）公共管理设施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乃河村村委会为一层建筑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占地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0.14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。规划近期对村委会进行改造，改造内容包括内部空间更新、外立面重新打造。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（2）医疗卫生设施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乃河村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现有卫生室一座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占地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公顷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，规划对村庄卫生室进行提升改造，打造标准化卫生室，提升医疗卫生服务水平。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（3）文体设施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现状村委会有活动广场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现状不能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满足村民需求，因此，本次规划新增广场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都位于上河组，一处位于村委会附近，一处位于河流南侧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，适当设置健身器材。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（4）社会福利设施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现状村庄有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图书阅览室、活动室等设施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但是缺乏老年人的福利设施，因此，本次规划将增加老年饭桌，以满足老年人的需求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（5）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乃河村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村域范围内现状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有小学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所，幼儿园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所，使用良好，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因此本次不再规划教育设施。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七、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近期行动计划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Theme="minorEastAsia" w:hAnsiTheme="minorEastAsia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乃河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村村近期内重点建设项目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个，涉及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国土整治与生态修复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基础设施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彭阳县基础设施项目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、产业发展和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人居环境整治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，建设总投资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2637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ind w:firstLine="643" w:firstLineChars="200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ascii="仿宋_GB2312" w:hAnsi="仿宋_GB2312" w:eastAsia="仿宋_GB2312" w:cs="仿宋_GB2312"/>
          <w:b/>
          <w:sz w:val="32"/>
          <w:szCs w:val="32"/>
        </w:rPr>
        <w:t>近期建设行动计划表</w:t>
      </w:r>
    </w:p>
    <w:tbl>
      <w:tblPr>
        <w:tblStyle w:val="6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4"/>
        <w:gridCol w:w="593"/>
        <w:gridCol w:w="1221"/>
        <w:gridCol w:w="606"/>
        <w:gridCol w:w="1461"/>
        <w:gridCol w:w="1050"/>
        <w:gridCol w:w="728"/>
        <w:gridCol w:w="1029"/>
        <w:gridCol w:w="557"/>
        <w:gridCol w:w="8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序号</w:t>
            </w:r>
          </w:p>
        </w:tc>
        <w:tc>
          <w:tcPr>
            <w:tcW w:w="59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项目类型</w:t>
            </w:r>
          </w:p>
        </w:tc>
        <w:tc>
          <w:tcPr>
            <w:tcW w:w="182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项目（工程）名称</w:t>
            </w:r>
          </w:p>
        </w:tc>
        <w:tc>
          <w:tcPr>
            <w:tcW w:w="146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建设内容</w:t>
            </w:r>
          </w:p>
        </w:tc>
        <w:tc>
          <w:tcPr>
            <w:tcW w:w="10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建设主体</w:t>
            </w:r>
          </w:p>
        </w:tc>
        <w:tc>
          <w:tcPr>
            <w:tcW w:w="72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资金估算（万元）</w:t>
            </w:r>
          </w:p>
        </w:tc>
        <w:tc>
          <w:tcPr>
            <w:tcW w:w="1029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资金来源</w:t>
            </w:r>
          </w:p>
        </w:tc>
        <w:tc>
          <w:tcPr>
            <w:tcW w:w="55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建设方式（新建/改建/扩建）</w:t>
            </w:r>
          </w:p>
        </w:tc>
        <w:tc>
          <w:tcPr>
            <w:tcW w:w="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04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国土整治与生态修复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高标准农田建设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对村域内符合标准的371.35公顷农田进行高标准农田建设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农业农村局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高标准农田改造专项资金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土地复垦与整理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村庄拆旧复垦1.42公顷，对这部分土地进行整理改造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农业农村局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改建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水土保持与水域维护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对村庄河流流域进行维护，修建护岸增加河岸绿植等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水务局、生态环境局、自然资源局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生态修复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对生态保护红线内进行维护补植等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自然资源局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基础设施</w:t>
            </w: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道路交通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村道硬化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硬化巷道及部分村庄支路共3.7km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给水设施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管网优化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优化破损老旧管网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水务局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污水设施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污水处理站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新建两处污水处理站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水务局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污水管网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集中排水网布置建设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水务局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环卫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垃圾箱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新增配套垃圾箱101个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住房和城乡建设局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道路亮化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新装路灯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新增39盏路灯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住房和城乡建设局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道路绿化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道路绿化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财政涉农整合资金+县级财政资金+村集体自筹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清洁能源改造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对农户实行清洁能源提升改造工程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农业农村局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农村清洁能源改造专项资金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彭阳县基础设施项目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宝中铁路彭阳段铁路建设项目（六盘山片区中卫至平凉至庆阳铁路项目）8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G327道路拓宽工程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改扩建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彭阳县地质灾害应急避险宅基地建设项目39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彭阳县古城乃河至关院公路1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彭阳县古城乃河至关院公路2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彭阳县古城乃河至关院公路3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交通运输局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--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项目专项资金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承接彭阳县乃河村内基础设施项目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产业发展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新建烘干车间、加工车间、保鲜库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1处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县级财政资金+村集体自筹+社会资本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9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人居环境整治</w:t>
            </w: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新建广场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2处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村委会</w:t>
            </w:r>
          </w:p>
        </w:tc>
        <w:tc>
          <w:tcPr>
            <w:tcW w:w="1461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占地0.14公顷改造提升</w:t>
            </w:r>
          </w:p>
        </w:tc>
        <w:tc>
          <w:tcPr>
            <w:tcW w:w="105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2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</w:t>
            </w:r>
          </w:p>
        </w:tc>
        <w:tc>
          <w:tcPr>
            <w:tcW w:w="557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改建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提升改造</w:t>
            </w:r>
          </w:p>
        </w:tc>
        <w:tc>
          <w:tcPr>
            <w:tcW w:w="1461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公园绿地新增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一处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卫生室提升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改建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40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93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2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老年饭桌新增</w:t>
            </w:r>
          </w:p>
        </w:tc>
        <w:tc>
          <w:tcPr>
            <w:tcW w:w="146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古城镇人民政府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县级财政资金+村集体自筹</w:t>
            </w: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新建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335" w:type="dxa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72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2637</w:t>
            </w:r>
          </w:p>
        </w:tc>
        <w:tc>
          <w:tcPr>
            <w:tcW w:w="102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asciiTheme="minorEastAsia" w:hAnsiTheme="minorEastAsia"/>
          <w:b/>
          <w:sz w:val="22"/>
          <w:szCs w:val="22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pStyle w:val="11"/>
        <w:rPr>
          <w:rFonts w:hint="eastAsia" w:ascii="仿宋" w:hAnsi="仿宋" w:eastAsia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行楷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0583B8C"/>
    <w:rsid w:val="000117E1"/>
    <w:rsid w:val="00053033"/>
    <w:rsid w:val="001D247C"/>
    <w:rsid w:val="0034360C"/>
    <w:rsid w:val="004006DE"/>
    <w:rsid w:val="00421DE0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F45EC"/>
    <w:rsid w:val="008536E4"/>
    <w:rsid w:val="00893197"/>
    <w:rsid w:val="008B0F9B"/>
    <w:rsid w:val="00935DF2"/>
    <w:rsid w:val="00A83618"/>
    <w:rsid w:val="00B17A9C"/>
    <w:rsid w:val="00BF583F"/>
    <w:rsid w:val="00C35F05"/>
    <w:rsid w:val="00F0116D"/>
    <w:rsid w:val="00F03B5D"/>
    <w:rsid w:val="00F16B0D"/>
    <w:rsid w:val="00FC77D4"/>
    <w:rsid w:val="01A06E9D"/>
    <w:rsid w:val="0369197B"/>
    <w:rsid w:val="09FB55B8"/>
    <w:rsid w:val="0A854E82"/>
    <w:rsid w:val="18714EA6"/>
    <w:rsid w:val="1C024584"/>
    <w:rsid w:val="26597496"/>
    <w:rsid w:val="27A016CB"/>
    <w:rsid w:val="51D87A54"/>
    <w:rsid w:val="535350EA"/>
    <w:rsid w:val="596D67DA"/>
    <w:rsid w:val="613A0929"/>
    <w:rsid w:val="6FBB3C97"/>
    <w:rsid w:val="70E0255A"/>
    <w:rsid w:val="72440109"/>
    <w:rsid w:val="79A06A24"/>
    <w:rsid w:val="7E95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表格"/>
    <w:basedOn w:val="12"/>
    <w:link w:val="13"/>
    <w:qFormat/>
    <w:uiPriority w:val="0"/>
    <w:pPr>
      <w:jc w:val="center"/>
    </w:pPr>
    <w:rPr>
      <w:szCs w:val="21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表格 Char"/>
    <w:basedOn w:val="5"/>
    <w:link w:val="11"/>
    <w:qFormat/>
    <w:uiPriority w:val="0"/>
    <w:rPr>
      <w:szCs w:val="21"/>
    </w:rPr>
  </w:style>
  <w:style w:type="character" w:customStyle="1" w:styleId="14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customStyle="1" w:styleId="15">
    <w:name w:val="图表名"/>
    <w:basedOn w:val="1"/>
    <w:link w:val="16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16">
    <w:name w:val="图表名 Char"/>
    <w:basedOn w:val="5"/>
    <w:link w:val="15"/>
    <w:qFormat/>
    <w:uiPriority w:val="0"/>
    <w:rPr>
      <w:rFonts w:ascii="Times New Roman" w:hAnsi="Times New Roman" w:cs="Times New Roman"/>
      <w:b/>
      <w:sz w:val="24"/>
      <w:szCs w:val="21"/>
    </w:rPr>
  </w:style>
  <w:style w:type="paragraph" w:customStyle="1" w:styleId="17">
    <w:name w:val="说明书正文"/>
    <w:basedOn w:val="1"/>
    <w:qFormat/>
    <w:uiPriority w:val="0"/>
    <w:pPr>
      <w:widowControl w:val="0"/>
      <w:adjustRightInd/>
      <w:snapToGrid/>
      <w:spacing w:before="0" w:beforeAutospacing="0" w:after="0" w:afterAutospacing="0" w:line="480" w:lineRule="exact"/>
    </w:pPr>
    <w:rPr>
      <w:rFonts w:asciiTheme="minorHAnsi" w:hAnsiTheme="minorHAnsi" w:cstheme="minorBidi"/>
    </w:rPr>
  </w:style>
  <w:style w:type="character" w:customStyle="1" w:styleId="18">
    <w:name w:val="font11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xyt</Company>
  <Pages>13</Pages>
  <Words>936</Words>
  <Characters>5341</Characters>
  <Lines>44</Lines>
  <Paragraphs>12</Paragraphs>
  <TotalTime>3</TotalTime>
  <ScaleCrop>false</ScaleCrop>
  <LinksUpToDate>false</LinksUpToDate>
  <CharactersWithSpaces>6265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2023-10-09T02:35:00Z</dcterms:created>
  <dc:creator>Rainbow</dc:creator>
  <cp:lastModifiedBy>彭阳局信息员</cp:lastModifiedBy>
  <dcterms:modified xsi:type="dcterms:W3CDTF">2023-11-10T07:19:14Z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4F68778049ED40458DEEABA30C46D6E7_13</vt:lpwstr>
  </property>
</Properties>
</file>