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彭阳县</w:t>
      </w:r>
      <w:r>
        <w:rPr>
          <w:rFonts w:hint="eastAsia" w:ascii="方正小标宋简体" w:hAnsi="方正小标宋简体" w:eastAsia="方正小标宋简体" w:cs="方正小标宋简体"/>
          <w:color w:val="000000"/>
          <w:sz w:val="44"/>
          <w:szCs w:val="44"/>
          <w:lang w:eastAsia="zh-CN"/>
        </w:rPr>
        <w:t>白阳镇陡坡</w:t>
      </w:r>
      <w:r>
        <w:rPr>
          <w:rFonts w:hint="eastAsia" w:ascii="方正小标宋简体" w:hAnsi="方正小标宋简体" w:eastAsia="方正小标宋简体" w:cs="方正小标宋简体"/>
          <w:color w:val="000000"/>
          <w:sz w:val="44"/>
          <w:szCs w:val="44"/>
        </w:rPr>
        <w:t>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村庄规划（</w:t>
      </w:r>
      <w:r>
        <w:rPr>
          <w:rFonts w:hint="default" w:ascii="方正小标宋简体" w:hAnsi="方正小标宋简体" w:eastAsia="方正小标宋简体" w:cs="方正小标宋简体"/>
          <w:color w:val="000000"/>
          <w:sz w:val="44"/>
          <w:szCs w:val="44"/>
        </w:rPr>
        <w:t>2022-2035</w:t>
      </w:r>
      <w:r>
        <w:rPr>
          <w:rFonts w:hint="default" w:ascii="方正小标宋简体" w:hAnsi="方正小标宋简体" w:eastAsia="方正小标宋简体" w:cs="方正小标宋简体"/>
          <w:color w:val="000000"/>
          <w:sz w:val="44"/>
          <w:szCs w:val="44"/>
          <w:lang w:eastAsia="zh-CN"/>
        </w:rPr>
        <w:t>年</w:t>
      </w:r>
      <w:r>
        <w:rPr>
          <w:rFonts w:hint="eastAsia" w:ascii="方正小标宋简体" w:hAnsi="方正小标宋简体" w:eastAsia="方正小标宋简体" w:cs="方正小标宋简体"/>
          <w:color w:val="000000"/>
          <w:sz w:val="44"/>
          <w:szCs w:val="44"/>
        </w:rPr>
        <w:t>）</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一、项目名称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《彭阳县白阳镇陡坡村村庄规划（</w:t>
      </w:r>
      <w:r>
        <w:rPr>
          <w:rFonts w:hint="default" w:ascii="Times New Roman" w:hAnsi="Times New Roman" w:eastAsia="仿宋_GB2312" w:cs="Times New Roman"/>
          <w:b w:val="0"/>
          <w:bCs w:val="0"/>
          <w:i w:val="0"/>
          <w:iCs w:val="0"/>
          <w:color w:val="auto"/>
          <w:sz w:val="32"/>
          <w:szCs w:val="32"/>
          <w:lang w:val="en-US" w:eastAsia="zh-CN"/>
        </w:rPr>
        <w:t>2022</w:t>
      </w:r>
      <w:r>
        <w:rPr>
          <w:rFonts w:hint="eastAsia" w:ascii="仿宋_GB2312" w:hAnsi="仿宋_GB2312" w:eastAsia="仿宋_GB2312" w:cs="仿宋_GB2312"/>
          <w:b w:val="0"/>
          <w:bCs w:val="0"/>
          <w:i w:val="0"/>
          <w:iCs w:val="0"/>
          <w:color w:val="auto"/>
          <w:sz w:val="32"/>
          <w:szCs w:val="32"/>
          <w:lang w:val="en-US" w:eastAsia="zh-CN"/>
        </w:rPr>
        <w:t>—</w:t>
      </w:r>
      <w:r>
        <w:rPr>
          <w:rFonts w:hint="default" w:ascii="Times New Roman" w:hAnsi="Times New Roman" w:eastAsia="仿宋_GB2312" w:cs="Times New Roman"/>
          <w:b w:val="0"/>
          <w:bCs w:val="0"/>
          <w:i w:val="0"/>
          <w:iCs w:val="0"/>
          <w:color w:val="auto"/>
          <w:sz w:val="32"/>
          <w:szCs w:val="32"/>
          <w:lang w:val="en-US" w:eastAsia="zh-CN"/>
        </w:rPr>
        <w:t>2035</w:t>
      </w:r>
      <w:r>
        <w:rPr>
          <w:rFonts w:hint="eastAsia" w:ascii="Times New Roman" w:hAnsi="Times New Roman" w:eastAsia="仿宋_GB2312" w:cs="Times New Roman"/>
          <w:b w:val="0"/>
          <w:bCs w:val="0"/>
          <w:i w:val="0"/>
          <w:iCs w:val="0"/>
          <w:color w:val="auto"/>
          <w:sz w:val="32"/>
          <w:szCs w:val="32"/>
          <w:lang w:val="en-US" w:eastAsia="zh-CN"/>
        </w:rPr>
        <w:t>年</w:t>
      </w:r>
      <w:r>
        <w:rPr>
          <w:rFonts w:hint="eastAsia" w:ascii="仿宋_GB2312" w:hAnsi="仿宋_GB2312" w:eastAsia="仿宋_GB2312" w:cs="仿宋_GB2312"/>
          <w:b w:val="0"/>
          <w:bCs w:val="0"/>
          <w:i w:val="0"/>
          <w:i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二、村庄类型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陡坡村属于“集聚提升类村庄”。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三、规划范围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本次村庄规划涵盖陡坡村整个行政管理范围，包含毛头沟组、全岔组、阳湾组、陡坡组、李岔组、虎岔组、堡子沟组共</w:t>
      </w:r>
      <w:r>
        <w:rPr>
          <w:rFonts w:hint="eastAsia" w:ascii="Times New Roman" w:hAnsi="Times New Roman" w:eastAsia="仿宋_GB2312" w:cs="Times New Roman"/>
          <w:b w:val="0"/>
          <w:bCs w:val="0"/>
          <w:i w:val="0"/>
          <w:iCs w:val="0"/>
          <w:color w:val="auto"/>
          <w:sz w:val="32"/>
          <w:szCs w:val="32"/>
          <w:lang w:val="en-US" w:eastAsia="zh-CN"/>
        </w:rPr>
        <w:t>7</w:t>
      </w:r>
      <w:r>
        <w:rPr>
          <w:rFonts w:hint="eastAsia" w:ascii="仿宋_GB2312" w:hAnsi="仿宋_GB2312" w:eastAsia="仿宋_GB2312" w:cs="仿宋_GB2312"/>
          <w:b w:val="0"/>
          <w:bCs w:val="0"/>
          <w:i w:val="0"/>
          <w:iCs w:val="0"/>
          <w:color w:val="auto"/>
          <w:sz w:val="32"/>
          <w:szCs w:val="32"/>
          <w:lang w:val="en-US" w:eastAsia="zh-CN"/>
        </w:rPr>
        <w:t>个村民小组。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四、规划期限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本次规划期限为：</w:t>
      </w:r>
      <w:r>
        <w:rPr>
          <w:rFonts w:hint="eastAsia" w:ascii="Times New Roman" w:hAnsi="Times New Roman" w:eastAsia="仿宋_GB2312" w:cs="Times New Roman"/>
          <w:b w:val="0"/>
          <w:bCs w:val="0"/>
          <w:i w:val="0"/>
          <w:iCs w:val="0"/>
          <w:color w:val="auto"/>
          <w:sz w:val="32"/>
          <w:szCs w:val="32"/>
          <w:lang w:val="en-US" w:eastAsia="zh-CN"/>
        </w:rPr>
        <w:t>2022</w:t>
      </w:r>
      <w:r>
        <w:rPr>
          <w:rFonts w:hint="eastAsia" w:ascii="仿宋_GB2312" w:hAnsi="仿宋_GB2312" w:eastAsia="仿宋_GB2312" w:cs="仿宋_GB2312"/>
          <w:b w:val="0"/>
          <w:bCs w:val="0"/>
          <w:i w:val="0"/>
          <w:iCs w:val="0"/>
          <w:color w:val="auto"/>
          <w:sz w:val="32"/>
          <w:szCs w:val="32"/>
          <w:lang w:val="en-US" w:eastAsia="zh-CN"/>
        </w:rPr>
        <w:t>年－</w:t>
      </w:r>
      <w:r>
        <w:rPr>
          <w:rFonts w:hint="eastAsia" w:ascii="Times New Roman" w:hAnsi="Times New Roman" w:eastAsia="仿宋_GB2312" w:cs="Times New Roman"/>
          <w:b w:val="0"/>
          <w:bCs w:val="0"/>
          <w:i w:val="0"/>
          <w:iCs w:val="0"/>
          <w:color w:val="auto"/>
          <w:sz w:val="32"/>
          <w:szCs w:val="32"/>
          <w:lang w:val="en-US" w:eastAsia="zh-CN"/>
        </w:rPr>
        <w:t>2035</w:t>
      </w:r>
      <w:r>
        <w:rPr>
          <w:rFonts w:hint="eastAsia" w:ascii="仿宋_GB2312" w:hAnsi="仿宋_GB2312" w:eastAsia="仿宋_GB2312" w:cs="仿宋_GB2312"/>
          <w:b w:val="0"/>
          <w:bCs w:val="0"/>
          <w:i w:val="0"/>
          <w:iCs w:val="0"/>
          <w:color w:val="auto"/>
          <w:sz w:val="32"/>
          <w:szCs w:val="32"/>
          <w:lang w:val="en-US" w:eastAsia="zh-CN"/>
        </w:rPr>
        <w:t>年，规划基期年为</w:t>
      </w:r>
      <w:r>
        <w:rPr>
          <w:rFonts w:hint="eastAsia" w:ascii="Times New Roman" w:hAnsi="Times New Roman" w:eastAsia="仿宋_GB2312" w:cs="Times New Roman"/>
          <w:b w:val="0"/>
          <w:bCs w:val="0"/>
          <w:i w:val="0"/>
          <w:iCs w:val="0"/>
          <w:color w:val="auto"/>
          <w:sz w:val="32"/>
          <w:szCs w:val="32"/>
          <w:lang w:val="en-US" w:eastAsia="zh-CN"/>
        </w:rPr>
        <w:t>2021</w:t>
      </w:r>
      <w:r>
        <w:rPr>
          <w:rFonts w:hint="eastAsia" w:ascii="仿宋_GB2312" w:hAnsi="仿宋_GB2312" w:eastAsia="仿宋_GB2312" w:cs="仿宋_GB2312"/>
          <w:b w:val="0"/>
          <w:bCs w:val="0"/>
          <w:i w:val="0"/>
          <w:iCs w:val="0"/>
          <w:color w:val="auto"/>
          <w:sz w:val="32"/>
          <w:szCs w:val="32"/>
          <w:lang w:val="en-US" w:eastAsia="zh-CN"/>
        </w:rPr>
        <w:t>年；其中：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近期：</w:t>
      </w:r>
      <w:r>
        <w:rPr>
          <w:rFonts w:hint="default" w:ascii="Times New Roman" w:hAnsi="Times New Roman" w:eastAsia="仿宋_GB2312" w:cs="Times New Roman"/>
          <w:b w:val="0"/>
          <w:bCs w:val="0"/>
          <w:i w:val="0"/>
          <w:iCs w:val="0"/>
          <w:color w:val="auto"/>
          <w:sz w:val="32"/>
          <w:szCs w:val="32"/>
          <w:lang w:val="en-US" w:eastAsia="zh-CN"/>
        </w:rPr>
        <w:t>2022</w:t>
      </w:r>
      <w:r>
        <w:rPr>
          <w:rFonts w:hint="eastAsia" w:ascii="仿宋_GB2312" w:hAnsi="仿宋_GB2312" w:eastAsia="仿宋_GB2312" w:cs="仿宋_GB2312"/>
          <w:b w:val="0"/>
          <w:bCs w:val="0"/>
          <w:i w:val="0"/>
          <w:iCs w:val="0"/>
          <w:color w:val="auto"/>
          <w:sz w:val="32"/>
          <w:szCs w:val="32"/>
          <w:lang w:val="en-US" w:eastAsia="zh-CN"/>
        </w:rPr>
        <w:t>-</w:t>
      </w:r>
      <w:r>
        <w:rPr>
          <w:rFonts w:hint="default" w:ascii="Times New Roman" w:hAnsi="Times New Roman" w:eastAsia="仿宋_GB2312" w:cs="Times New Roman"/>
          <w:b w:val="0"/>
          <w:bCs w:val="0"/>
          <w:i w:val="0"/>
          <w:iCs w:val="0"/>
          <w:color w:val="auto"/>
          <w:sz w:val="32"/>
          <w:szCs w:val="32"/>
          <w:lang w:val="en-US" w:eastAsia="zh-CN"/>
        </w:rPr>
        <w:t>2025</w:t>
      </w:r>
      <w:r>
        <w:rPr>
          <w:rFonts w:hint="eastAsia" w:ascii="仿宋_GB2312" w:hAnsi="仿宋_GB2312" w:eastAsia="仿宋_GB2312" w:cs="仿宋_GB2312"/>
          <w:b w:val="0"/>
          <w:bCs w:val="0"/>
          <w:i w:val="0"/>
          <w:i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远期：</w:t>
      </w:r>
      <w:r>
        <w:rPr>
          <w:rFonts w:hint="eastAsia" w:ascii="Times New Roman" w:hAnsi="Times New Roman" w:eastAsia="仿宋_GB2312" w:cs="Times New Roman"/>
          <w:b w:val="0"/>
          <w:bCs w:val="0"/>
          <w:i w:val="0"/>
          <w:iCs w:val="0"/>
          <w:color w:val="auto"/>
          <w:sz w:val="32"/>
          <w:szCs w:val="32"/>
          <w:lang w:val="en-US" w:eastAsia="zh-CN"/>
        </w:rPr>
        <w:t>2026</w:t>
      </w:r>
      <w:r>
        <w:rPr>
          <w:rFonts w:hint="eastAsia" w:ascii="仿宋_GB2312" w:hAnsi="仿宋_GB2312" w:eastAsia="仿宋_GB2312" w:cs="仿宋_GB2312"/>
          <w:b w:val="0"/>
          <w:bCs w:val="0"/>
          <w:i w:val="0"/>
          <w:iCs w:val="0"/>
          <w:color w:val="auto"/>
          <w:sz w:val="32"/>
          <w:szCs w:val="32"/>
          <w:lang w:val="en-US" w:eastAsia="zh-CN"/>
        </w:rPr>
        <w:t>-</w:t>
      </w:r>
      <w:r>
        <w:rPr>
          <w:rFonts w:hint="eastAsia" w:ascii="Times New Roman" w:hAnsi="Times New Roman" w:eastAsia="仿宋_GB2312" w:cs="Times New Roman"/>
          <w:b w:val="0"/>
          <w:bCs w:val="0"/>
          <w:i w:val="0"/>
          <w:iCs w:val="0"/>
          <w:color w:val="auto"/>
          <w:sz w:val="32"/>
          <w:szCs w:val="32"/>
          <w:lang w:val="en-US" w:eastAsia="zh-CN"/>
        </w:rPr>
        <w:t>2035</w:t>
      </w:r>
      <w:r>
        <w:rPr>
          <w:rFonts w:hint="eastAsia" w:ascii="仿宋_GB2312" w:hAnsi="仿宋_GB2312" w:eastAsia="仿宋_GB2312" w:cs="仿宋_GB2312"/>
          <w:b w:val="0"/>
          <w:bCs w:val="0"/>
          <w:i w:val="0"/>
          <w:iCs w:val="0"/>
          <w:color w:val="auto"/>
          <w:sz w:val="32"/>
          <w:szCs w:val="32"/>
          <w:lang w:val="en-US"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五、规划人口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规划近期户籍人口</w:t>
      </w:r>
      <w:r>
        <w:rPr>
          <w:rFonts w:hint="default" w:ascii="Times New Roman" w:hAnsi="Times New Roman" w:eastAsia="仿宋_GB2312" w:cs="Times New Roman"/>
          <w:b w:val="0"/>
          <w:bCs w:val="0"/>
          <w:i w:val="0"/>
          <w:iCs w:val="0"/>
          <w:color w:val="auto"/>
          <w:sz w:val="32"/>
          <w:szCs w:val="32"/>
          <w:lang w:val="en-US" w:eastAsia="zh-CN"/>
        </w:rPr>
        <w:t>1387</w:t>
      </w:r>
      <w:r>
        <w:rPr>
          <w:rFonts w:hint="eastAsia" w:ascii="仿宋_GB2312" w:hAnsi="仿宋_GB2312" w:eastAsia="仿宋_GB2312" w:cs="仿宋_GB2312"/>
          <w:b w:val="0"/>
          <w:bCs w:val="0"/>
          <w:i w:val="0"/>
          <w:iCs w:val="0"/>
          <w:color w:val="auto"/>
          <w:sz w:val="32"/>
          <w:szCs w:val="32"/>
          <w:lang w:val="en-US" w:eastAsia="zh-CN"/>
        </w:rPr>
        <w:t>人，常住人口</w:t>
      </w:r>
      <w:r>
        <w:rPr>
          <w:rFonts w:hint="default" w:ascii="Times New Roman" w:hAnsi="Times New Roman" w:eastAsia="仿宋_GB2312" w:cs="Times New Roman"/>
          <w:b w:val="0"/>
          <w:bCs w:val="0"/>
          <w:i w:val="0"/>
          <w:iCs w:val="0"/>
          <w:color w:val="auto"/>
          <w:sz w:val="32"/>
          <w:szCs w:val="32"/>
          <w:lang w:val="en-US" w:eastAsia="zh-CN"/>
        </w:rPr>
        <w:t>897</w:t>
      </w:r>
      <w:r>
        <w:rPr>
          <w:rFonts w:hint="eastAsia" w:ascii="仿宋_GB2312" w:hAnsi="仿宋_GB2312" w:eastAsia="仿宋_GB2312" w:cs="仿宋_GB2312"/>
          <w:b w:val="0"/>
          <w:bCs w:val="0"/>
          <w:i w:val="0"/>
          <w:iCs w:val="0"/>
          <w:color w:val="auto"/>
          <w:sz w:val="32"/>
          <w:szCs w:val="32"/>
          <w:lang w:val="en-US" w:eastAsia="zh-CN"/>
        </w:rPr>
        <w:t>人；规划远期户籍人口</w:t>
      </w:r>
      <w:r>
        <w:rPr>
          <w:rFonts w:hint="default" w:ascii="Times New Roman" w:hAnsi="Times New Roman" w:eastAsia="仿宋_GB2312" w:cs="Times New Roman"/>
          <w:b w:val="0"/>
          <w:bCs w:val="0"/>
          <w:i w:val="0"/>
          <w:iCs w:val="0"/>
          <w:color w:val="auto"/>
          <w:sz w:val="32"/>
          <w:szCs w:val="32"/>
          <w:lang w:val="en-US" w:eastAsia="zh-CN"/>
        </w:rPr>
        <w:t xml:space="preserve"> 1487</w:t>
      </w:r>
      <w:r>
        <w:rPr>
          <w:rFonts w:hint="eastAsia" w:ascii="仿宋_GB2312" w:hAnsi="仿宋_GB2312" w:eastAsia="仿宋_GB2312" w:cs="仿宋_GB2312"/>
          <w:b w:val="0"/>
          <w:bCs w:val="0"/>
          <w:i w:val="0"/>
          <w:iCs w:val="0"/>
          <w:color w:val="auto"/>
          <w:sz w:val="32"/>
          <w:szCs w:val="32"/>
          <w:lang w:val="en-US" w:eastAsia="zh-CN"/>
        </w:rPr>
        <w:t>人，常住人口</w:t>
      </w:r>
      <w:r>
        <w:rPr>
          <w:rFonts w:hint="default" w:ascii="Times New Roman" w:hAnsi="Times New Roman" w:eastAsia="仿宋_GB2312" w:cs="Times New Roman"/>
          <w:b w:val="0"/>
          <w:bCs w:val="0"/>
          <w:i w:val="0"/>
          <w:iCs w:val="0"/>
          <w:color w:val="auto"/>
          <w:sz w:val="32"/>
          <w:szCs w:val="32"/>
          <w:lang w:val="en-US" w:eastAsia="zh-CN"/>
        </w:rPr>
        <w:t>977</w:t>
      </w:r>
      <w:r>
        <w:rPr>
          <w:rFonts w:hint="eastAsia" w:ascii="仿宋_GB2312" w:hAnsi="仿宋_GB2312" w:eastAsia="仿宋_GB2312" w:cs="仿宋_GB2312"/>
          <w:b w:val="0"/>
          <w:bCs w:val="0"/>
          <w:i w:val="0"/>
          <w:iCs w:val="0"/>
          <w:color w:val="auto"/>
          <w:sz w:val="32"/>
          <w:szCs w:val="32"/>
          <w:lang w:val="en-US" w:eastAsia="zh-CN"/>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黑体" w:hAnsi="黑体" w:eastAsia="黑体" w:cs="黑体"/>
          <w:sz w:val="32"/>
          <w:szCs w:val="32"/>
        </w:rPr>
      </w:pPr>
      <w:r>
        <w:rPr>
          <w:rFonts w:hint="eastAsia" w:ascii="黑体" w:hAnsi="黑体" w:eastAsia="黑体" w:cs="黑体"/>
          <w:sz w:val="32"/>
          <w:szCs w:val="32"/>
        </w:rPr>
        <w:t>六、规划方案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1</w:t>
      </w:r>
      <w:r>
        <w:rPr>
          <w:rFonts w:hint="eastAsia" w:ascii="仿宋_GB2312" w:hAnsi="仿宋_GB2312" w:eastAsia="仿宋_GB2312" w:cs="仿宋_GB2312"/>
          <w:b w:val="0"/>
          <w:bCs w:val="0"/>
          <w:i w:val="0"/>
          <w:iCs w:val="0"/>
          <w:color w:val="auto"/>
          <w:sz w:val="32"/>
          <w:szCs w:val="32"/>
          <w:lang w:val="en-US" w:eastAsia="zh-CN"/>
        </w:rPr>
        <w:t>、规划定位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以传统农业种植为基础，集中养殖为核心，中草药加工为特色的农业型村庄。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2、国土空间格局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强化生态约束保护，突出交通引领支撑，形成“一带、一心、多空间”的国土空间格局。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一带：</w:t>
      </w:r>
      <w:r>
        <w:rPr>
          <w:rFonts w:hint="default" w:ascii="Times New Roman" w:hAnsi="Times New Roman" w:eastAsia="仿宋_GB2312" w:cs="Times New Roman"/>
          <w:b w:val="0"/>
          <w:bCs w:val="0"/>
          <w:i w:val="0"/>
          <w:iCs w:val="0"/>
          <w:color w:val="auto"/>
          <w:sz w:val="32"/>
          <w:szCs w:val="32"/>
          <w:lang w:val="en-US" w:eastAsia="zh-CN"/>
        </w:rPr>
        <w:t>202</w:t>
      </w:r>
      <w:r>
        <w:rPr>
          <w:rFonts w:hint="eastAsia" w:ascii="仿宋_GB2312" w:hAnsi="仿宋_GB2312" w:eastAsia="仿宋_GB2312" w:cs="仿宋_GB2312"/>
          <w:b w:val="0"/>
          <w:bCs w:val="0"/>
          <w:i w:val="0"/>
          <w:iCs w:val="0"/>
          <w:color w:val="auto"/>
          <w:sz w:val="32"/>
          <w:szCs w:val="32"/>
          <w:lang w:val="en-US" w:eastAsia="zh-CN"/>
        </w:rPr>
        <w:t>省道产业发展带。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一心：陡坡村村部服务中心。依托陡坡村村部，配置满足本村和邻村就近使用需求的农业生产服务要素和村民日常生活必须品供应。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多空间：按照宜种则种、宜养则养的差异化发展思路，根据各地自然资源禀赋和现状条件，以多组团方式大力发展种植业、养殖业、生态林果业，补充发展饲草加工业。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农业空间：按照现状耕地的分布情况，通过提质改造等手段，提升现有耕地的质量和配套设施，形成玉米（玉米套种、青贮玉米）规模种植区域。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生态空间：以现有林地及其他草地组成的生态保护区域为主，提升生态涵养功能，强化生态保护和修复，完善生态补偿和后期管护机制。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建设空间：主要分布在居民点集中区域，交通便利、公共服务设施齐全。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3</w:t>
      </w:r>
      <w:r>
        <w:rPr>
          <w:rFonts w:hint="eastAsia" w:ascii="仿宋_GB2312" w:hAnsi="仿宋_GB2312" w:eastAsia="仿宋_GB2312" w:cs="仿宋_GB2312"/>
          <w:b w:val="0"/>
          <w:bCs w:val="0"/>
          <w:i w:val="0"/>
          <w:iCs w:val="0"/>
          <w:color w:val="auto"/>
          <w:sz w:val="32"/>
          <w:szCs w:val="32"/>
          <w:lang w:val="en-US" w:eastAsia="zh-CN"/>
        </w:rPr>
        <w:t>、国土空间管控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3.1</w:t>
      </w:r>
      <w:r>
        <w:rPr>
          <w:rFonts w:hint="eastAsia" w:ascii="仿宋_GB2312" w:hAnsi="仿宋_GB2312" w:eastAsia="仿宋_GB2312" w:cs="仿宋_GB2312"/>
          <w:b w:val="0"/>
          <w:bCs w:val="0"/>
          <w:i w:val="0"/>
          <w:iCs w:val="0"/>
          <w:color w:val="auto"/>
          <w:sz w:val="32"/>
          <w:szCs w:val="32"/>
          <w:lang w:val="en-US" w:eastAsia="zh-CN"/>
        </w:rPr>
        <w:t>永久基本农田管制规则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永久基本农田控制线应按照《基本农田保护条例》进行管控。禁止进行破坏永久基本农田的活动，不得擅自改变永久基本农田用途或者占用永久基本农田进行非农建设。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3.2</w:t>
      </w:r>
      <w:r>
        <w:rPr>
          <w:rFonts w:hint="eastAsia" w:ascii="仿宋_GB2312" w:hAnsi="仿宋_GB2312" w:eastAsia="仿宋_GB2312" w:cs="仿宋_GB2312"/>
          <w:b w:val="0"/>
          <w:bCs w:val="0"/>
          <w:i w:val="0"/>
          <w:iCs w:val="0"/>
          <w:color w:val="auto"/>
          <w:sz w:val="32"/>
          <w:szCs w:val="32"/>
          <w:lang w:val="en-US" w:eastAsia="zh-CN"/>
        </w:rPr>
        <w:t>生态保护红线管制规则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批准的生态保护红线不得擅自调整。任何单位和个人不得破坏或者擅自改变生态保护红线标识标牌。任何单位和个人不得擅自调整生态保护红线准入清单。生态红线内的耕地可以正常耕作，但依法退耕还林（草、湿）的除外；居民生活点、农（林）场场部等生产生活设施可以正常使用，对建设用地、农用地规模严格控制，不得扩大现有用地规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3.3</w:t>
      </w:r>
      <w:r>
        <w:rPr>
          <w:rFonts w:hint="eastAsia" w:ascii="仿宋_GB2312" w:hAnsi="仿宋_GB2312" w:eastAsia="仿宋_GB2312" w:cs="仿宋_GB2312"/>
          <w:b w:val="0"/>
          <w:bCs w:val="0"/>
          <w:i w:val="0"/>
          <w:iCs w:val="0"/>
          <w:color w:val="auto"/>
          <w:sz w:val="32"/>
          <w:szCs w:val="32"/>
          <w:lang w:val="en-US" w:eastAsia="zh-CN"/>
        </w:rPr>
        <w:t>建设用地管制规则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4</w:t>
      </w:r>
      <w:r>
        <w:rPr>
          <w:rFonts w:hint="eastAsia" w:ascii="仿宋_GB2312" w:hAnsi="仿宋_GB2312" w:eastAsia="仿宋_GB2312" w:cs="仿宋_GB2312"/>
          <w:b w:val="0"/>
          <w:bCs w:val="0"/>
          <w:i w:val="0"/>
          <w:iCs w:val="0"/>
          <w:color w:val="auto"/>
          <w:sz w:val="32"/>
          <w:szCs w:val="32"/>
          <w:lang w:val="en-US" w:eastAsia="zh-CN"/>
        </w:rPr>
        <w:t>、产业发展规划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4.1</w:t>
      </w:r>
      <w:r>
        <w:rPr>
          <w:rFonts w:hint="eastAsia" w:ascii="仿宋_GB2312" w:hAnsi="仿宋_GB2312" w:eastAsia="仿宋_GB2312" w:cs="仿宋_GB2312"/>
          <w:b w:val="0"/>
          <w:bCs w:val="0"/>
          <w:i w:val="0"/>
          <w:iCs w:val="0"/>
          <w:color w:val="auto"/>
          <w:sz w:val="32"/>
          <w:szCs w:val="32"/>
          <w:lang w:val="en-US" w:eastAsia="zh-CN"/>
        </w:rPr>
        <w:t>产业发展定位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确定陡坡村产业发展定位为：在稳步推进传统种植业发展的基础上，依托临近县城，对外交通便利和基础设施连通方便的区位优势，大力发展特色养殖业和饲草加工，积极推广跨境电商，逐步实现第一、二、三产业高质量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default" w:ascii="Times New Roman" w:hAnsi="Times New Roman" w:eastAsia="仿宋_GB2312" w:cs="Times New Roman"/>
          <w:b w:val="0"/>
          <w:bCs w:val="0"/>
          <w:i w:val="0"/>
          <w:iCs w:val="0"/>
          <w:color w:val="auto"/>
          <w:sz w:val="32"/>
          <w:szCs w:val="32"/>
          <w:lang w:val="en-US" w:eastAsia="zh-CN"/>
        </w:rPr>
        <w:t>4.2</w:t>
      </w:r>
      <w:r>
        <w:rPr>
          <w:rFonts w:hint="eastAsia" w:ascii="仿宋_GB2312" w:hAnsi="仿宋_GB2312" w:eastAsia="仿宋_GB2312" w:cs="仿宋_GB2312"/>
          <w:b w:val="0"/>
          <w:bCs w:val="0"/>
          <w:i w:val="0"/>
          <w:iCs w:val="0"/>
          <w:color w:val="auto"/>
          <w:sz w:val="32"/>
          <w:szCs w:val="32"/>
          <w:lang w:val="en-US" w:eastAsia="zh-CN"/>
        </w:rPr>
        <w:t xml:space="preserve"> 产业发展布局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陡坡村产业空间布局以现状产业及资源为基础，规划拓展村庄发展视野，以一、二、三产相结合为主要的发展路径，共同构筑陡坡村美丽乡村的核心内涵，将产业重组落实到空间层面。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规划陡坡村产业空间上以农业发展为契机，对村域产业进行布局，形成“一带、一心、多区”的产业发展格局。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一带：以</w:t>
      </w:r>
      <w:r>
        <w:rPr>
          <w:rFonts w:hint="default" w:ascii="Times New Roman" w:hAnsi="Times New Roman" w:eastAsia="仿宋_GB2312" w:cs="Times New Roman"/>
          <w:b w:val="0"/>
          <w:bCs w:val="0"/>
          <w:i w:val="0"/>
          <w:iCs w:val="0"/>
          <w:color w:val="auto"/>
          <w:sz w:val="32"/>
          <w:szCs w:val="32"/>
          <w:lang w:val="en-US" w:eastAsia="zh-CN"/>
        </w:rPr>
        <w:t>202</w:t>
      </w:r>
      <w:r>
        <w:rPr>
          <w:rFonts w:hint="eastAsia" w:ascii="仿宋_GB2312" w:hAnsi="仿宋_GB2312" w:eastAsia="仿宋_GB2312" w:cs="仿宋_GB2312"/>
          <w:b w:val="0"/>
          <w:bCs w:val="0"/>
          <w:i w:val="0"/>
          <w:iCs w:val="0"/>
          <w:color w:val="auto"/>
          <w:sz w:val="32"/>
          <w:szCs w:val="32"/>
          <w:lang w:val="en-US" w:eastAsia="zh-CN"/>
        </w:rPr>
        <w:t>省道为主轴，以省道两侧一定范围为发展带，不断推动传统农业转型升级和提质增效，改变过去由单一种植或养殖业为主的传统农业向农、林、服务业全面发展的现代农业转变，通过养殖业、种植业兼容互补的生产作业模式，打造</w:t>
      </w:r>
      <w:r>
        <w:rPr>
          <w:rFonts w:hint="default" w:ascii="Times New Roman" w:hAnsi="Times New Roman" w:eastAsia="仿宋_GB2312" w:cs="Times New Roman"/>
          <w:b w:val="0"/>
          <w:bCs w:val="0"/>
          <w:i w:val="0"/>
          <w:iCs w:val="0"/>
          <w:color w:val="auto"/>
          <w:sz w:val="32"/>
          <w:szCs w:val="32"/>
          <w:lang w:val="en-US" w:eastAsia="zh-CN"/>
        </w:rPr>
        <w:t>202</w:t>
      </w:r>
      <w:r>
        <w:rPr>
          <w:rFonts w:hint="eastAsia" w:ascii="仿宋_GB2312" w:hAnsi="仿宋_GB2312" w:eastAsia="仿宋_GB2312" w:cs="仿宋_GB2312"/>
          <w:b w:val="0"/>
          <w:bCs w:val="0"/>
          <w:i w:val="0"/>
          <w:iCs w:val="0"/>
          <w:color w:val="auto"/>
          <w:sz w:val="32"/>
          <w:szCs w:val="32"/>
          <w:lang w:val="en-US" w:eastAsia="zh-CN"/>
        </w:rPr>
        <w:t>省道产业发展带。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一心：以陡坡村村部为中心，依托县城临近的区位优势和</w:t>
      </w:r>
      <w:r>
        <w:rPr>
          <w:rFonts w:hint="default" w:ascii="Times New Roman" w:hAnsi="Times New Roman" w:eastAsia="仿宋_GB2312" w:cs="Times New Roman"/>
          <w:b w:val="0"/>
          <w:bCs w:val="0"/>
          <w:i w:val="0"/>
          <w:iCs w:val="0"/>
          <w:color w:val="auto"/>
          <w:sz w:val="32"/>
          <w:szCs w:val="32"/>
          <w:lang w:val="en-US" w:eastAsia="zh-CN"/>
        </w:rPr>
        <w:t>202</w:t>
      </w:r>
      <w:r>
        <w:rPr>
          <w:rFonts w:hint="eastAsia" w:ascii="仿宋_GB2312" w:hAnsi="仿宋_GB2312" w:eastAsia="仿宋_GB2312" w:cs="仿宋_GB2312"/>
          <w:b w:val="0"/>
          <w:bCs w:val="0"/>
          <w:i w:val="0"/>
          <w:iCs w:val="0"/>
          <w:color w:val="auto"/>
          <w:sz w:val="32"/>
          <w:szCs w:val="32"/>
          <w:lang w:val="en-US" w:eastAsia="zh-CN"/>
        </w:rPr>
        <w:t>省道的便利条件，配置农资供应站，村民日常生活必须品销售网点、快递收发点。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多区：根据各地自然资源禀赋和现状条件，发挥资源优势，以组团方式发展种植业、养殖业、生态林果业。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高效种植区：通过土壤改良、发展节水灌溉和修建田间道路等手段，提升现有耕地质量和配套设施水平，形成小麦、玉米、杂粮等规模种植区域。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畜禽养殖区：依托现有的种养殖合作社，优化调整用地布局，配套建设道路、供水、供电和粪便污水处理等设施，提供科学养殖服务，辐射带动周边农户通过肉牛和肉羊养殖产业增加收入。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i w:val="0"/>
          <w:iCs w:val="0"/>
          <w:color w:val="auto"/>
          <w:sz w:val="32"/>
          <w:szCs w:val="32"/>
          <w:lang w:val="en-US" w:eastAsia="zh-CN"/>
        </w:rPr>
      </w:pPr>
      <w:r>
        <w:rPr>
          <w:rFonts w:hint="eastAsia" w:ascii="仿宋_GB2312" w:hAnsi="仿宋_GB2312" w:eastAsia="仿宋_GB2312" w:cs="仿宋_GB2312"/>
          <w:b w:val="0"/>
          <w:bCs w:val="0"/>
          <w:i w:val="0"/>
          <w:iCs w:val="0"/>
          <w:color w:val="auto"/>
          <w:sz w:val="32"/>
          <w:szCs w:val="32"/>
          <w:lang w:val="en-US" w:eastAsia="zh-CN"/>
        </w:rPr>
        <w:t>生态涵养区：以现有林地及其他草地组成的生态保护区域为主，提升生态涵养功能，强化生态保护和修复，完善生态补偿和后期管护机制。</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59197E"/>
    <w:rsid w:val="00F33D71"/>
    <w:rsid w:val="017C6D0A"/>
    <w:rsid w:val="034755E7"/>
    <w:rsid w:val="04247911"/>
    <w:rsid w:val="05465FAD"/>
    <w:rsid w:val="079A5E72"/>
    <w:rsid w:val="0A3E79C4"/>
    <w:rsid w:val="0DA57B9B"/>
    <w:rsid w:val="0E172295"/>
    <w:rsid w:val="0E2147D2"/>
    <w:rsid w:val="0EE8122A"/>
    <w:rsid w:val="10D00294"/>
    <w:rsid w:val="13451084"/>
    <w:rsid w:val="14661880"/>
    <w:rsid w:val="14D0319D"/>
    <w:rsid w:val="154A73F4"/>
    <w:rsid w:val="15555290"/>
    <w:rsid w:val="15875F52"/>
    <w:rsid w:val="17045380"/>
    <w:rsid w:val="17AB1B1A"/>
    <w:rsid w:val="18581E27"/>
    <w:rsid w:val="1A350442"/>
    <w:rsid w:val="1A6B5E42"/>
    <w:rsid w:val="1B652214"/>
    <w:rsid w:val="1DB7292E"/>
    <w:rsid w:val="1EDC7F1C"/>
    <w:rsid w:val="201918EF"/>
    <w:rsid w:val="21C91382"/>
    <w:rsid w:val="220C07AA"/>
    <w:rsid w:val="23C13D0E"/>
    <w:rsid w:val="257A093C"/>
    <w:rsid w:val="2604539D"/>
    <w:rsid w:val="283771E3"/>
    <w:rsid w:val="29BB4C3E"/>
    <w:rsid w:val="2DF45CF7"/>
    <w:rsid w:val="2E415900"/>
    <w:rsid w:val="2E9E067A"/>
    <w:rsid w:val="2EB25F2F"/>
    <w:rsid w:val="2FA10517"/>
    <w:rsid w:val="30405223"/>
    <w:rsid w:val="30406FD1"/>
    <w:rsid w:val="329D4BAF"/>
    <w:rsid w:val="33382C3B"/>
    <w:rsid w:val="34750292"/>
    <w:rsid w:val="34963D01"/>
    <w:rsid w:val="34C16C8B"/>
    <w:rsid w:val="360B5D41"/>
    <w:rsid w:val="36580A1D"/>
    <w:rsid w:val="376712E7"/>
    <w:rsid w:val="3B5A3686"/>
    <w:rsid w:val="3E274B57"/>
    <w:rsid w:val="3F1A74EB"/>
    <w:rsid w:val="3FC3294D"/>
    <w:rsid w:val="3FC711AB"/>
    <w:rsid w:val="41B16FDF"/>
    <w:rsid w:val="423A41C8"/>
    <w:rsid w:val="424B521F"/>
    <w:rsid w:val="42652C96"/>
    <w:rsid w:val="42786A9F"/>
    <w:rsid w:val="42E200E2"/>
    <w:rsid w:val="44857B34"/>
    <w:rsid w:val="44B65DD4"/>
    <w:rsid w:val="44C37B0C"/>
    <w:rsid w:val="44C46A3C"/>
    <w:rsid w:val="44F838FF"/>
    <w:rsid w:val="45453ED9"/>
    <w:rsid w:val="47184710"/>
    <w:rsid w:val="47207CE6"/>
    <w:rsid w:val="486C0E21"/>
    <w:rsid w:val="48770C66"/>
    <w:rsid w:val="48EC278F"/>
    <w:rsid w:val="49DE327F"/>
    <w:rsid w:val="4B7474D2"/>
    <w:rsid w:val="4DCA07A5"/>
    <w:rsid w:val="4F292BB7"/>
    <w:rsid w:val="4F561F16"/>
    <w:rsid w:val="50DD3BD9"/>
    <w:rsid w:val="5153670D"/>
    <w:rsid w:val="515E682E"/>
    <w:rsid w:val="516E3547"/>
    <w:rsid w:val="518F7959"/>
    <w:rsid w:val="51D84E64"/>
    <w:rsid w:val="530028C4"/>
    <w:rsid w:val="54E87A94"/>
    <w:rsid w:val="54FA4BBB"/>
    <w:rsid w:val="55E42BD0"/>
    <w:rsid w:val="576A47B0"/>
    <w:rsid w:val="585A69C8"/>
    <w:rsid w:val="5A8C6BB6"/>
    <w:rsid w:val="5AD4622E"/>
    <w:rsid w:val="5BD9716E"/>
    <w:rsid w:val="5C473279"/>
    <w:rsid w:val="5EF07C91"/>
    <w:rsid w:val="6122416C"/>
    <w:rsid w:val="61CA700E"/>
    <w:rsid w:val="64E162CC"/>
    <w:rsid w:val="659D7D29"/>
    <w:rsid w:val="661D386D"/>
    <w:rsid w:val="683C3F47"/>
    <w:rsid w:val="685272C6"/>
    <w:rsid w:val="68664B20"/>
    <w:rsid w:val="6B58785D"/>
    <w:rsid w:val="6BF62E0F"/>
    <w:rsid w:val="6D875C64"/>
    <w:rsid w:val="6E795D9A"/>
    <w:rsid w:val="70081658"/>
    <w:rsid w:val="705555F5"/>
    <w:rsid w:val="71DD22F7"/>
    <w:rsid w:val="73D74B24"/>
    <w:rsid w:val="751D2A0A"/>
    <w:rsid w:val="77286DE9"/>
    <w:rsid w:val="77775144"/>
    <w:rsid w:val="78276AD6"/>
    <w:rsid w:val="7C2853AF"/>
    <w:rsid w:val="7D0A5756"/>
    <w:rsid w:val="7D197F5B"/>
    <w:rsid w:val="7E936C72"/>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widowControl/>
      <w:spacing w:line="360" w:lineRule="exact"/>
      <w:ind w:firstLine="480"/>
    </w:pPr>
    <w:rPr>
      <w:sz w:val="24"/>
      <w:szCs w:val="24"/>
    </w:rPr>
  </w:style>
  <w:style w:type="paragraph" w:styleId="3">
    <w:name w:val="Body Text"/>
    <w:basedOn w:val="1"/>
    <w:next w:val="2"/>
    <w:unhideWhenUsed/>
    <w:qFormat/>
    <w:uiPriority w:val="1"/>
    <w:pPr>
      <w:ind w:left="240"/>
    </w:pPr>
    <w:rPr>
      <w:rFonts w:hint="eastAsia" w:ascii="宋体" w:hAnsi="宋体"/>
    </w:rPr>
  </w:style>
  <w:style w:type="paragraph" w:styleId="4">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2361</Words>
  <Characters>2426</Characters>
  <Lines>0</Lines>
  <Paragraphs>0</Paragraphs>
  <TotalTime>3</TotalTime>
  <ScaleCrop>false</ScaleCrop>
  <LinksUpToDate>false</LinksUpToDate>
  <CharactersWithSpaces>2428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彭阳局信息员</cp:lastModifiedBy>
  <dcterms:modified xsi:type="dcterms:W3CDTF">2023-11-10T06:39:08Z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0B7E89BEA65442A18D8066DFDA29098C_13</vt:lpwstr>
  </property>
</Properties>
</file>