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彭阳县</w:t>
      </w:r>
      <w:r>
        <w:rPr>
          <w:rFonts w:hint="eastAsia" w:ascii="方正小标宋简体" w:hAnsi="方正小标宋简体" w:eastAsia="方正小标宋简体" w:cs="方正小标宋简体"/>
          <w:b w:val="0"/>
          <w:bCs w:val="0"/>
          <w:color w:val="auto"/>
          <w:sz w:val="44"/>
          <w:szCs w:val="44"/>
        </w:rPr>
        <w:t>孟塬乡虎山庄村</w:t>
      </w:r>
    </w:p>
    <w:p>
      <w:pPr>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实用性村庄规划（2021-2035）</w:t>
      </w:r>
      <w:bookmarkStart w:id="1" w:name="_GoBack"/>
      <w:bookmarkEnd w:id="1"/>
    </w:p>
    <w:p>
      <w:pPr>
        <w:pStyle w:val="5"/>
        <w:pageBreakBefore w:val="0"/>
        <w:kinsoku/>
        <w:wordWrap/>
        <w:overflowPunct/>
        <w:topLinePunct w:val="0"/>
        <w:autoSpaceDE/>
        <w:autoSpaceDN/>
        <w:bidi w:val="0"/>
        <w:adjustRightInd/>
        <w:snapToGrid/>
        <w:spacing w:line="240" w:lineRule="auto"/>
        <w:ind w:left="280" w:right="280" w:firstLine="582"/>
        <w:jc w:val="left"/>
        <w:textAlignment w:val="auto"/>
        <w:rPr>
          <w:rStyle w:val="14"/>
          <w:rFonts w:hint="eastAsia" w:ascii="仿宋_GB2312" w:hAnsi="仿宋_GB2312" w:eastAsia="仿宋_GB2312" w:cs="仿宋_GB2312"/>
          <w:b w:val="0"/>
          <w:bCs w:val="0"/>
          <w:color w:val="auto"/>
          <w:sz w:val="32"/>
          <w:szCs w:val="32"/>
          <w:shd w:val="clear" w:color="auto" w:fill="FFFFFF"/>
        </w:rPr>
      </w:pP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一、规划范围及期限</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Hans"/>
        </w:rPr>
      </w:pPr>
      <w:bookmarkStart w:id="0" w:name="_Hlk57401842"/>
      <w:r>
        <w:rPr>
          <w:rFonts w:hint="eastAsia" w:ascii="仿宋_GB2312" w:hAnsi="仿宋_GB2312" w:eastAsia="仿宋_GB2312" w:cs="仿宋_GB2312"/>
          <w:b w:val="0"/>
          <w:bCs w:val="0"/>
          <w:color w:val="auto"/>
          <w:sz w:val="32"/>
          <w:szCs w:val="32"/>
          <w:lang w:val="en-US" w:eastAsia="zh-Hans"/>
        </w:rPr>
        <w:t>项目区规划范围为彭阳县孟塬乡虎山庄村，孟塬乡位于宁夏回族自治区东南端、六盘山东北端的彭阳县东北部，处于东经106°10′，北纬35°09′，北靠冯庄乡，南接城阳乡，西连草庙乡，东邻镇原县马渠、武沟两乡。孟塬乡行政区域面积为207.98平方公里，全乡南北长22.8公里，东西宽19.3公里，309国道穿境而过。虎山庄村辖虎山庄、杜湾、施坪、李沟4个村民小组，现有人口264户964人，常住户：142户530人。</w:t>
      </w:r>
    </w:p>
    <w:bookmarkEnd w:id="0"/>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本次“多规合一”实用性村庄规划期限为2021-2035年，其中近期2021-2025年，远期2026-2035年。</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二、规划重点</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1、落实生态保护红线和永久基本农田控制线。</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2、明确村庄产业发展要求，综合部署生产、生态、生活等各项建设内容。</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3、确定村庄发展目标、发展规模与发展方向。</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4、合理布局各类用地，完善公共服务设施与基础设施。</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5、加强景观风貌特色控制与村庄设计引导，为村民提供切合当地特色，与经济社会发展水平相适应的宜居环境。</w:t>
      </w:r>
    </w:p>
    <w:p>
      <w:pPr>
        <w:pStyle w:val="5"/>
        <w:pageBreakBefore w:val="0"/>
        <w:kinsoku/>
        <w:wordWrap/>
        <w:overflowPunct/>
        <w:topLinePunct w:val="0"/>
        <w:autoSpaceDE/>
        <w:autoSpaceDN/>
        <w:bidi w:val="0"/>
        <w:adjustRightInd/>
        <w:snapToGrid/>
        <w:spacing w:line="240" w:lineRule="auto"/>
        <w:ind w:right="280" w:firstLine="640" w:firstLineChars="200"/>
        <w:jc w:val="left"/>
        <w:textAlignment w:val="auto"/>
        <w:rPr>
          <w:rStyle w:val="14"/>
          <w:rFonts w:hint="eastAsia" w:ascii="仿宋_GB2312" w:hAnsi="仿宋_GB2312" w:eastAsia="仿宋_GB2312" w:cs="仿宋_GB2312"/>
          <w:b w:val="0"/>
          <w:bCs w:val="0"/>
          <w:color w:val="auto"/>
          <w:sz w:val="32"/>
          <w:szCs w:val="32"/>
          <w:shd w:val="clear" w:color="auto" w:fill="FFFFFF"/>
        </w:rPr>
      </w:pPr>
      <w:r>
        <w:rPr>
          <w:rStyle w:val="14"/>
          <w:rFonts w:hint="eastAsia" w:ascii="仿宋_GB2312" w:hAnsi="仿宋_GB2312" w:eastAsia="仿宋_GB2312" w:cs="仿宋_GB2312"/>
          <w:b w:val="0"/>
          <w:bCs w:val="0"/>
          <w:color w:val="auto"/>
          <w:sz w:val="32"/>
          <w:szCs w:val="32"/>
          <w:shd w:val="clear" w:color="auto" w:fill="FFFFFF"/>
        </w:rPr>
        <w:t>三、村庄分类</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根将虎山庄村4个自然村分为两类，其中：整治改善类的自然村为虎山庄组、李沟组、杜湾组，搬迁撤并类的自然村为施坪组，则虎山庄行政村的主导类型为整治改善类村庄。</w:t>
      </w:r>
    </w:p>
    <w:p>
      <w:pPr>
        <w:pStyle w:val="5"/>
        <w:pageBreakBefore w:val="0"/>
        <w:kinsoku/>
        <w:wordWrap/>
        <w:overflowPunct/>
        <w:topLinePunct w:val="0"/>
        <w:autoSpaceDE/>
        <w:autoSpaceDN/>
        <w:bidi w:val="0"/>
        <w:adjustRightInd/>
        <w:snapToGrid/>
        <w:spacing w:line="240" w:lineRule="auto"/>
        <w:ind w:right="280" w:firstLine="640" w:firstLineChars="200"/>
        <w:jc w:val="left"/>
        <w:textAlignment w:val="auto"/>
        <w:rPr>
          <w:rStyle w:val="14"/>
          <w:rFonts w:hint="eastAsia" w:ascii="仿宋_GB2312" w:hAnsi="仿宋_GB2312" w:eastAsia="仿宋_GB2312" w:cs="仿宋_GB2312"/>
          <w:b w:val="0"/>
          <w:bCs w:val="0"/>
          <w:color w:val="auto"/>
          <w:sz w:val="32"/>
          <w:szCs w:val="32"/>
          <w:shd w:val="clear" w:color="auto" w:fill="FFFFFF"/>
        </w:rPr>
      </w:pPr>
      <w:r>
        <w:rPr>
          <w:rStyle w:val="14"/>
          <w:rFonts w:hint="eastAsia" w:ascii="仿宋_GB2312" w:hAnsi="仿宋_GB2312" w:eastAsia="仿宋_GB2312" w:cs="仿宋_GB2312"/>
          <w:b w:val="0"/>
          <w:bCs w:val="0"/>
          <w:color w:val="auto"/>
          <w:sz w:val="32"/>
          <w:szCs w:val="32"/>
          <w:shd w:val="clear" w:color="auto" w:fill="FFFFFF"/>
        </w:rPr>
        <w:t>四、定位目标</w:t>
      </w:r>
    </w:p>
    <w:p>
      <w:pPr>
        <w:pStyle w:val="6"/>
        <w:pageBreakBefore w:val="0"/>
        <w:kinsoku/>
        <w:wordWrap/>
        <w:overflowPunct/>
        <w:topLinePunct w:val="0"/>
        <w:autoSpaceDE/>
        <w:autoSpaceDN/>
        <w:bidi w:val="0"/>
        <w:adjustRightInd/>
        <w:snapToGrid/>
        <w:spacing w:line="240" w:lineRule="auto"/>
        <w:ind w:firstLine="56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（一）总体目标</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虎山庄村位于自治区东南部，宁甘交界处，独特的 平“塬”地貌，为虎山庄发展种植养殖提供了有利条件，与“塬”对应的沟壑梯田，又因大力实施“退耕还林”，已是绿树成林，花团锦簇，是名副其实的“住在森林里的村庄”。</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规划依托虎山庄特有的区位和产业，以农业强、农村美、农民富为建设目标，以巩固脱贫攻坚成果、推进乡村全面振兴为任务，重点发展草畜产业、林果产业和特色农产品加工业，构建“景村一体、景园一体、产村一体”的“一二三产融合”的产业体系，将生态保护融入到绿色家园的发展建设中，打响“塬上人家·百里茶香”的品牌，将虎山庄村建设成为自治区知名的特色农产品加工产业村、宜居宜业田园新村、塬上森林乡村。</w:t>
      </w:r>
    </w:p>
    <w:p>
      <w:pPr>
        <w:pStyle w:val="6"/>
        <w:pageBreakBefore w:val="0"/>
        <w:kinsoku/>
        <w:wordWrap/>
        <w:overflowPunct/>
        <w:topLinePunct w:val="0"/>
        <w:autoSpaceDE/>
        <w:autoSpaceDN/>
        <w:bidi w:val="0"/>
        <w:adjustRightInd/>
        <w:snapToGrid/>
        <w:spacing w:line="240" w:lineRule="auto"/>
        <w:ind w:firstLine="56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（二）规模预测</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Hans"/>
        </w:rPr>
      </w:pPr>
      <w:r>
        <w:rPr>
          <w:rFonts w:hint="eastAsia" w:ascii="仿宋_GB2312" w:hAnsi="仿宋_GB2312" w:eastAsia="仿宋_GB2312" w:cs="仿宋_GB2312"/>
          <w:b w:val="0"/>
          <w:bCs w:val="0"/>
          <w:color w:val="auto"/>
          <w:sz w:val="32"/>
          <w:szCs w:val="32"/>
          <w:lang w:val="en-US" w:eastAsia="zh-Hans"/>
        </w:rPr>
        <w:t>至2025年，预测虎山庄村总人口控制在约985人269户，其中常住人口规模约为560人153户，占比57%。至2035年，规划虎山庄村总人口约1025人280户，其中常住人口约为650人178户，占比约63%（常住人口占比随着村庄产业和经济发展而增大）。</w:t>
      </w:r>
    </w:p>
    <w:p>
      <w:pPr>
        <w:pStyle w:val="5"/>
        <w:pageBreakBefore w:val="0"/>
        <w:kinsoku/>
        <w:wordWrap/>
        <w:overflowPunct/>
        <w:topLinePunct w:val="0"/>
        <w:autoSpaceDE/>
        <w:autoSpaceDN/>
        <w:bidi w:val="0"/>
        <w:adjustRightInd/>
        <w:snapToGrid/>
        <w:spacing w:line="240" w:lineRule="auto"/>
        <w:ind w:right="280" w:firstLine="640" w:firstLineChars="200"/>
        <w:jc w:val="left"/>
        <w:textAlignment w:val="auto"/>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val="0"/>
          <w:color w:val="auto"/>
          <w:sz w:val="32"/>
          <w:szCs w:val="32"/>
          <w:lang w:eastAsia="zh-Hans"/>
        </w:rPr>
        <w:t>五、用地规划</w:t>
      </w:r>
    </w:p>
    <w:p>
      <w:pPr>
        <w:pStyle w:val="2"/>
        <w:pageBreakBefore w:val="0"/>
        <w:kinsoku/>
        <w:wordWrap/>
        <w:overflowPunct/>
        <w:topLinePunct w:val="0"/>
        <w:autoSpaceDE/>
        <w:autoSpaceDN/>
        <w:bidi w:val="0"/>
        <w:adjustRightInd/>
        <w:snapToGrid/>
        <w:spacing w:after="0" w:line="240" w:lineRule="auto"/>
        <w:ind w:firstLine="0" w:firstLineChars="0"/>
        <w:jc w:val="left"/>
        <w:textAlignment w:val="auto"/>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val="0"/>
          <w:color w:val="auto"/>
          <w:sz w:val="32"/>
          <w:szCs w:val="32"/>
          <w:lang w:eastAsia="zh-Hans"/>
        </w:rPr>
        <w:t xml:space="preserve"> </w:t>
      </w:r>
      <w:r>
        <w:rPr>
          <w:rFonts w:hint="eastAsia" w:ascii="仿宋_GB2312" w:hAnsi="仿宋_GB2312" w:eastAsia="仿宋_GB2312" w:cs="仿宋_GB2312"/>
          <w:b w:val="0"/>
          <w:bCs w:val="0"/>
          <w:color w:val="auto"/>
          <w:sz w:val="32"/>
          <w:szCs w:val="32"/>
          <w:lang w:eastAsia="zh-Hans"/>
        </w:rPr>
        <w:t xml:space="preserve">   </w:t>
      </w:r>
      <w:r>
        <w:rPr>
          <w:rFonts w:hint="eastAsia" w:ascii="仿宋_GB2312" w:hAnsi="仿宋_GB2312" w:eastAsia="仿宋_GB2312" w:cs="仿宋_GB2312"/>
          <w:b w:val="0"/>
          <w:bCs w:val="0"/>
          <w:color w:val="auto"/>
          <w:sz w:val="32"/>
          <w:szCs w:val="32"/>
          <w:lang w:eastAsia="zh-Hans"/>
        </w:rPr>
        <w:t>虎山庄村现有耕地面积349.56公顷，基本农田面积250.10公顷。</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val="0"/>
          <w:color w:val="auto"/>
          <w:sz w:val="32"/>
          <w:szCs w:val="32"/>
          <w:lang w:eastAsia="zh-Hans"/>
        </w:rPr>
        <w:t>规划农业设施建设用地主要包括肉牛养殖设施建设用地，畜禽养殖设施建设用地主要为养殖园区和养殖大户畜禽养殖设施建设用地，共 2.1公顷，占生产空间规模的0.5%。乡村道路用地包括村道用地和村庄内部道路用地，共19.27公顷</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val="0"/>
          <w:color w:val="auto"/>
          <w:sz w:val="32"/>
          <w:szCs w:val="32"/>
          <w:lang w:eastAsia="zh-Hans"/>
        </w:rPr>
        <w:t>规划保留现状仓储用地，共0.63公顷。</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val="0"/>
          <w:color w:val="auto"/>
          <w:sz w:val="32"/>
          <w:szCs w:val="32"/>
          <w:lang w:eastAsia="zh-Hans"/>
        </w:rPr>
        <w:t>规划交通运输用地为现状过境公路用地，规划与现状保持一致，共2.05公顷。</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val="0"/>
          <w:color w:val="auto"/>
          <w:sz w:val="32"/>
          <w:szCs w:val="32"/>
          <w:lang w:eastAsia="zh-Hans"/>
        </w:rPr>
        <w:t>规划公用设施用地包括通信用地、环卫用地，共0.02公顷。</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val="0"/>
          <w:color w:val="auto"/>
          <w:sz w:val="32"/>
          <w:szCs w:val="32"/>
          <w:lang w:eastAsia="zh-Hans"/>
        </w:rPr>
        <w:t>规划考虑虎山庄村未来居住或产业等发展需求，预留1.9公顷留白用地（不超过村庄建设用地的5%）。留白用地为指标留白。</w:t>
      </w:r>
    </w:p>
    <w:p>
      <w:pPr>
        <w:pStyle w:val="5"/>
        <w:pageBreakBefore w:val="0"/>
        <w:kinsoku/>
        <w:wordWrap/>
        <w:overflowPunct/>
        <w:topLinePunct w:val="0"/>
        <w:autoSpaceDE/>
        <w:autoSpaceDN/>
        <w:bidi w:val="0"/>
        <w:adjustRightInd/>
        <w:snapToGrid/>
        <w:spacing w:line="240" w:lineRule="auto"/>
        <w:ind w:right="280" w:firstLine="640" w:firstLineChars="200"/>
        <w:jc w:val="left"/>
        <w:textAlignment w:val="auto"/>
        <w:rPr>
          <w:rStyle w:val="14"/>
          <w:rFonts w:hint="eastAsia" w:ascii="仿宋_GB2312" w:hAnsi="仿宋_GB2312" w:eastAsia="仿宋_GB2312" w:cs="仿宋_GB2312"/>
          <w:b w:val="0"/>
          <w:bCs w:val="0"/>
          <w:color w:val="auto"/>
          <w:sz w:val="32"/>
          <w:szCs w:val="32"/>
          <w:shd w:val="clear" w:color="auto" w:fill="FFFFFF"/>
        </w:rPr>
      </w:pPr>
      <w:r>
        <w:rPr>
          <w:rStyle w:val="14"/>
          <w:rFonts w:hint="eastAsia" w:ascii="仿宋_GB2312" w:hAnsi="仿宋_GB2312" w:eastAsia="仿宋_GB2312" w:cs="仿宋_GB2312"/>
          <w:b w:val="0"/>
          <w:bCs w:val="0"/>
          <w:color w:val="auto"/>
          <w:sz w:val="32"/>
          <w:szCs w:val="32"/>
          <w:shd w:val="clear" w:color="auto" w:fill="FFFFFF"/>
        </w:rPr>
        <w:t>六、基础设施规划、</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val="0"/>
          <w:color w:val="auto"/>
          <w:sz w:val="32"/>
          <w:szCs w:val="32"/>
          <w:lang w:eastAsia="zh-Hans"/>
        </w:rPr>
        <w:t>逐步完善道路，给排水，燃气，电力通信，环卫设施等基础设施，建设美丽宜居的农村环境。</w:t>
      </w:r>
    </w:p>
    <w:p>
      <w:pPr>
        <w:pStyle w:val="5"/>
        <w:pageBreakBefore w:val="0"/>
        <w:kinsoku/>
        <w:wordWrap/>
        <w:overflowPunct/>
        <w:topLinePunct w:val="0"/>
        <w:autoSpaceDE/>
        <w:autoSpaceDN/>
        <w:bidi w:val="0"/>
        <w:adjustRightInd/>
        <w:snapToGrid/>
        <w:spacing w:line="240" w:lineRule="auto"/>
        <w:ind w:right="280" w:firstLine="640" w:firstLineChars="200"/>
        <w:jc w:val="left"/>
        <w:textAlignment w:val="auto"/>
        <w:rPr>
          <w:rFonts w:hint="eastAsia" w:ascii="仿宋_GB2312" w:hAnsi="仿宋_GB2312" w:eastAsia="仿宋_GB2312" w:cs="仿宋_GB2312"/>
          <w:b w:val="0"/>
          <w:bCs w:val="0"/>
          <w:color w:val="auto"/>
          <w:sz w:val="32"/>
          <w:szCs w:val="32"/>
          <w:shd w:val="clear" w:color="auto" w:fill="FFFFFF"/>
        </w:rPr>
      </w:pPr>
      <w:r>
        <w:rPr>
          <w:rStyle w:val="14"/>
          <w:rFonts w:hint="eastAsia" w:ascii="仿宋_GB2312" w:hAnsi="仿宋_GB2312" w:eastAsia="仿宋_GB2312" w:cs="仿宋_GB2312"/>
          <w:b w:val="0"/>
          <w:bCs w:val="0"/>
          <w:color w:val="auto"/>
          <w:sz w:val="32"/>
          <w:szCs w:val="32"/>
          <w:shd w:val="clear" w:color="auto" w:fill="FFFFFF"/>
        </w:rPr>
        <w:t>七、公共服务设施规划</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val="0"/>
          <w:color w:val="auto"/>
          <w:sz w:val="32"/>
          <w:szCs w:val="32"/>
          <w:lang w:eastAsia="zh-Hans"/>
        </w:rPr>
        <w:t>社会福利设施的位置、占地面积：在设置在现状教学点（规划取消）内新建社会福利设施，占地0.05公顷。</w:t>
      </w:r>
    </w:p>
    <w:p>
      <w:pPr>
        <w:pStyle w:val="5"/>
        <w:pageBreakBefore w:val="0"/>
        <w:kinsoku/>
        <w:wordWrap/>
        <w:overflowPunct/>
        <w:topLinePunct w:val="0"/>
        <w:autoSpaceDE/>
        <w:autoSpaceDN/>
        <w:bidi w:val="0"/>
        <w:adjustRightInd/>
        <w:snapToGrid/>
        <w:spacing w:line="240" w:lineRule="auto"/>
        <w:ind w:right="280" w:firstLine="640" w:firstLineChars="200"/>
        <w:jc w:val="left"/>
        <w:textAlignment w:val="auto"/>
        <w:rPr>
          <w:rStyle w:val="14"/>
          <w:rFonts w:hint="eastAsia" w:ascii="仿宋_GB2312" w:hAnsi="仿宋_GB2312" w:eastAsia="仿宋_GB2312" w:cs="仿宋_GB2312"/>
          <w:b w:val="0"/>
          <w:bCs w:val="0"/>
          <w:color w:val="auto"/>
          <w:sz w:val="32"/>
          <w:szCs w:val="32"/>
          <w:shd w:val="clear" w:color="auto" w:fill="FFFFFF"/>
        </w:rPr>
      </w:pPr>
      <w:r>
        <w:rPr>
          <w:rStyle w:val="14"/>
          <w:rFonts w:hint="eastAsia" w:ascii="仿宋_GB2312" w:hAnsi="仿宋_GB2312" w:eastAsia="仿宋_GB2312" w:cs="仿宋_GB2312"/>
          <w:b w:val="0"/>
          <w:bCs w:val="0"/>
          <w:color w:val="auto"/>
          <w:sz w:val="32"/>
          <w:szCs w:val="32"/>
          <w:shd w:val="clear" w:color="auto" w:fill="FFFFFF"/>
        </w:rPr>
        <w:t>八、产业发展规划</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val="0"/>
          <w:color w:val="auto"/>
          <w:sz w:val="32"/>
          <w:szCs w:val="32"/>
          <w:lang w:eastAsia="zh-Hans"/>
        </w:rPr>
        <w:t>结合虎山庄村产业特点和村民生产需求，合理安排村域各类产业用地重点发展草畜产业、经果种植产业和特色农产品加工产业，加快农村一二三产业融合，着力构建现代产业体系、生产体系、经营体系，在空间上形成有机联系、互为补充的多个产业板块，促进乡村产业振兴。</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val="0"/>
          <w:color w:val="auto"/>
          <w:sz w:val="32"/>
          <w:szCs w:val="32"/>
          <w:lang w:eastAsia="zh-Hans"/>
        </w:rPr>
        <w:t>虎山庄村形成“四区N基地”的产业空间布局，“四区”分别为草畜产业发展区、特色农产品生产区、经果种植区和生态保育区；“N基地”为地椒茶生产基地、养殖基地、苹果种植基地、农事体验基地等。</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Style w:val="14"/>
          <w:rFonts w:hint="eastAsia" w:ascii="仿宋_GB2312" w:hAnsi="仿宋_GB2312" w:eastAsia="仿宋_GB2312" w:cs="仿宋_GB2312"/>
          <w:b w:val="0"/>
          <w:bCs w:val="0"/>
          <w:color w:val="auto"/>
          <w:sz w:val="32"/>
          <w:szCs w:val="32"/>
          <w:shd w:val="clear" w:color="auto" w:fill="FFFFFF"/>
        </w:rPr>
      </w:pPr>
      <w:r>
        <w:rPr>
          <w:rStyle w:val="14"/>
          <w:rFonts w:hint="eastAsia" w:ascii="仿宋_GB2312" w:hAnsi="仿宋_GB2312" w:eastAsia="仿宋_GB2312" w:cs="仿宋_GB2312"/>
          <w:b w:val="0"/>
          <w:bCs w:val="0"/>
          <w:color w:val="auto"/>
          <w:sz w:val="32"/>
          <w:szCs w:val="32"/>
          <w:shd w:val="clear" w:color="auto" w:fill="FFFFFF"/>
        </w:rPr>
        <w:t>九</w:t>
      </w:r>
      <w:r>
        <w:rPr>
          <w:rStyle w:val="14"/>
          <w:rFonts w:hint="eastAsia" w:ascii="仿宋_GB2312" w:hAnsi="仿宋_GB2312" w:eastAsia="仿宋_GB2312" w:cs="仿宋_GB2312"/>
          <w:b w:val="0"/>
          <w:bCs w:val="0"/>
          <w:color w:val="auto"/>
          <w:sz w:val="32"/>
          <w:szCs w:val="32"/>
          <w:shd w:val="clear" w:color="auto" w:fill="FFFFFF"/>
        </w:rPr>
        <w:t>、</w:t>
      </w:r>
      <w:r>
        <w:rPr>
          <w:rStyle w:val="14"/>
          <w:rFonts w:hint="eastAsia" w:ascii="仿宋_GB2312" w:hAnsi="仿宋_GB2312" w:eastAsia="仿宋_GB2312" w:cs="仿宋_GB2312"/>
          <w:b w:val="0"/>
          <w:bCs w:val="0"/>
          <w:color w:val="auto"/>
          <w:sz w:val="32"/>
          <w:szCs w:val="32"/>
          <w:shd w:val="clear" w:color="auto" w:fill="FFFFFF"/>
        </w:rPr>
        <w:t>村庄</w:t>
      </w:r>
      <w:r>
        <w:rPr>
          <w:rStyle w:val="14"/>
          <w:rFonts w:hint="eastAsia" w:ascii="仿宋_GB2312" w:hAnsi="仿宋_GB2312" w:eastAsia="仿宋_GB2312" w:cs="仿宋_GB2312"/>
          <w:b w:val="0"/>
          <w:bCs w:val="0"/>
          <w:color w:val="auto"/>
          <w:sz w:val="32"/>
          <w:szCs w:val="32"/>
          <w:shd w:val="clear" w:color="auto" w:fill="FFFFFF"/>
        </w:rPr>
        <w:t>居名点规划</w:t>
      </w:r>
    </w:p>
    <w:p>
      <w:pPr>
        <w:pStyle w:val="2"/>
        <w:pageBreakBefore w:val="0"/>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b w:val="0"/>
          <w:bCs w:val="0"/>
          <w:color w:val="auto"/>
          <w:sz w:val="32"/>
          <w:szCs w:val="32"/>
          <w:lang w:eastAsia="zh-Hans"/>
        </w:rPr>
      </w:pPr>
      <w:r>
        <w:rPr>
          <w:rFonts w:hint="eastAsia" w:ascii="仿宋_GB2312" w:hAnsi="仿宋_GB2312" w:eastAsia="仿宋_GB2312" w:cs="仿宋_GB2312"/>
          <w:b w:val="0"/>
          <w:bCs w:val="0"/>
          <w:color w:val="auto"/>
          <w:sz w:val="32"/>
          <w:szCs w:val="32"/>
          <w:lang w:eastAsia="zh-Hans"/>
        </w:rPr>
        <w:t>规划新建农房采用低层院落式，坐北朝南（偏西15°到偏西30°范围内），户均宅基地面积控制在六分地以内，宅基地面积最小不得小于60平方米。新建建筑地面室内标高必须高于宅前路0.3米以上，坡屋顶标高5.8米。</w:t>
      </w:r>
    </w:p>
    <w:p>
      <w:pPr>
        <w:pageBreakBefore w:val="0"/>
        <w:kinsoku/>
        <w:wordWrap/>
        <w:overflowPunct/>
        <w:topLinePunct w:val="0"/>
        <w:autoSpaceDE/>
        <w:autoSpaceDN/>
        <w:bidi w:val="0"/>
        <w:adjustRightInd/>
        <w:snapToGrid/>
        <w:spacing w:line="240" w:lineRule="auto"/>
        <w:ind w:firstLine="56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Hans"/>
        </w:rPr>
        <w:t>建筑采用白墙红瓦坡屋顶形式，建筑材料采用多孔节能砖加外保温层，门窗采用塑钢中空玻璃窗，庭院内配置种植园。</w:t>
      </w:r>
      <w:r>
        <w:rPr>
          <w:rFonts w:hint="eastAsia" w:ascii="仿宋_GB2312" w:hAnsi="仿宋_GB2312" w:eastAsia="仿宋_GB2312" w:cs="仿宋_GB2312"/>
          <w:b w:val="0"/>
          <w:bCs w:val="0"/>
          <w:color w:val="auto"/>
          <w:sz w:val="32"/>
          <w:szCs w:val="32"/>
        </w:rPr>
        <w:t>规划期内对</w:t>
      </w:r>
      <w:r>
        <w:rPr>
          <w:rFonts w:hint="eastAsia" w:ascii="仿宋_GB2312" w:hAnsi="仿宋_GB2312" w:eastAsia="仿宋_GB2312" w:cs="仿宋_GB2312"/>
          <w:b w:val="0"/>
          <w:bCs w:val="0"/>
          <w:color w:val="auto"/>
          <w:sz w:val="32"/>
          <w:szCs w:val="32"/>
        </w:rPr>
        <w:t>3</w:t>
      </w:r>
      <w:r>
        <w:rPr>
          <w:rFonts w:hint="eastAsia" w:ascii="仿宋_GB2312" w:hAnsi="仿宋_GB2312" w:eastAsia="仿宋_GB2312" w:cs="仿宋_GB2312"/>
          <w:b w:val="0"/>
          <w:bCs w:val="0"/>
          <w:color w:val="auto"/>
          <w:sz w:val="32"/>
          <w:szCs w:val="32"/>
        </w:rPr>
        <w:t>个自然村</w:t>
      </w:r>
      <w:r>
        <w:rPr>
          <w:rFonts w:hint="eastAsia" w:ascii="仿宋_GB2312" w:hAnsi="仿宋_GB2312" w:eastAsia="仿宋_GB2312" w:cs="仿宋_GB2312"/>
          <w:b w:val="0"/>
          <w:bCs w:val="0"/>
          <w:color w:val="auto"/>
          <w:sz w:val="32"/>
          <w:szCs w:val="32"/>
        </w:rPr>
        <w:t>227</w:t>
      </w:r>
      <w:r>
        <w:rPr>
          <w:rFonts w:hint="eastAsia" w:ascii="仿宋_GB2312" w:hAnsi="仿宋_GB2312" w:eastAsia="仿宋_GB2312" w:cs="仿宋_GB2312"/>
          <w:b w:val="0"/>
          <w:bCs w:val="0"/>
          <w:color w:val="auto"/>
          <w:sz w:val="32"/>
          <w:szCs w:val="32"/>
        </w:rPr>
        <w:t>户房屋进行整治，涉及整治面积</w:t>
      </w:r>
      <w:r>
        <w:rPr>
          <w:rFonts w:hint="eastAsia" w:ascii="仿宋_GB2312" w:hAnsi="仿宋_GB2312" w:eastAsia="仿宋_GB2312" w:cs="仿宋_GB2312"/>
          <w:b w:val="0"/>
          <w:bCs w:val="0"/>
          <w:color w:val="auto"/>
          <w:sz w:val="32"/>
          <w:szCs w:val="32"/>
        </w:rPr>
        <w:t>19.73公顷</w:t>
      </w:r>
      <w:r>
        <w:rPr>
          <w:rFonts w:hint="eastAsia" w:ascii="仿宋_GB2312" w:hAnsi="仿宋_GB2312" w:eastAsia="仿宋_GB2312" w:cs="仿宋_GB2312"/>
          <w:b w:val="0"/>
          <w:bCs w:val="0"/>
          <w:color w:val="auto"/>
          <w:sz w:val="32"/>
          <w:szCs w:val="32"/>
        </w:rPr>
        <w:t>。对于破损严重的房屋进行整治，对屋顶破碎瓦片进行维修更换；对于陈旧破败，色彩暗淡的屋面，可进行外立面整治。</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1499857"/>
    </w:sdtPr>
    <w:sdtContent>
      <w:p>
        <w:pPr>
          <w:pStyle w:val="8"/>
          <w:ind w:firstLine="360"/>
          <w:jc w:val="center"/>
        </w:pPr>
        <w:r>
          <w:fldChar w:fldCharType="begin"/>
        </w:r>
        <w:r>
          <w:instrText xml:space="preserve">PAGE   \* MERGEFORMAT</w:instrText>
        </w:r>
        <w:r>
          <w:fldChar w:fldCharType="separate"/>
        </w:r>
        <w:r>
          <w:rPr>
            <w:lang w:val="zh-CN"/>
          </w:rPr>
          <w:t>4</w:t>
        </w:r>
        <w:r>
          <w:fldChar w:fldCharType="end"/>
        </w:r>
      </w:p>
    </w:sdtContent>
  </w:sdt>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0ODU4N2I0ODM3OTdjMzg1OGEyOTBjMDg0ZjU1MjYifQ=="/>
  </w:docVars>
  <w:rsids>
    <w:rsidRoot w:val="004F1252"/>
    <w:rsid w:val="000134D5"/>
    <w:rsid w:val="00051A72"/>
    <w:rsid w:val="000D5DFE"/>
    <w:rsid w:val="000E7664"/>
    <w:rsid w:val="000F464F"/>
    <w:rsid w:val="00101F82"/>
    <w:rsid w:val="0014039B"/>
    <w:rsid w:val="00161498"/>
    <w:rsid w:val="001856B0"/>
    <w:rsid w:val="001E5E11"/>
    <w:rsid w:val="00210378"/>
    <w:rsid w:val="002135EB"/>
    <w:rsid w:val="0024491B"/>
    <w:rsid w:val="00267673"/>
    <w:rsid w:val="002F24C8"/>
    <w:rsid w:val="00341080"/>
    <w:rsid w:val="003A2F0C"/>
    <w:rsid w:val="003F05D8"/>
    <w:rsid w:val="00400347"/>
    <w:rsid w:val="00480D3F"/>
    <w:rsid w:val="004B149D"/>
    <w:rsid w:val="004B31B8"/>
    <w:rsid w:val="004E4695"/>
    <w:rsid w:val="004F1252"/>
    <w:rsid w:val="004F682D"/>
    <w:rsid w:val="00530C8A"/>
    <w:rsid w:val="005365A4"/>
    <w:rsid w:val="00593C1F"/>
    <w:rsid w:val="005F5105"/>
    <w:rsid w:val="00655BD6"/>
    <w:rsid w:val="006A0FCD"/>
    <w:rsid w:val="006D1502"/>
    <w:rsid w:val="006D378E"/>
    <w:rsid w:val="006F4EE1"/>
    <w:rsid w:val="00702CB5"/>
    <w:rsid w:val="00740580"/>
    <w:rsid w:val="007D0198"/>
    <w:rsid w:val="00807F3F"/>
    <w:rsid w:val="008735D2"/>
    <w:rsid w:val="00895B64"/>
    <w:rsid w:val="008C31DB"/>
    <w:rsid w:val="008F4BE0"/>
    <w:rsid w:val="00926ADF"/>
    <w:rsid w:val="009711A7"/>
    <w:rsid w:val="009F672F"/>
    <w:rsid w:val="00A30052"/>
    <w:rsid w:val="00A43315"/>
    <w:rsid w:val="00A550CB"/>
    <w:rsid w:val="00A736C7"/>
    <w:rsid w:val="00A85967"/>
    <w:rsid w:val="00A97EDF"/>
    <w:rsid w:val="00AC7351"/>
    <w:rsid w:val="00B413F8"/>
    <w:rsid w:val="00BA6CCC"/>
    <w:rsid w:val="00BC3205"/>
    <w:rsid w:val="00BE7CB9"/>
    <w:rsid w:val="00C03B4A"/>
    <w:rsid w:val="00C04594"/>
    <w:rsid w:val="00C1255E"/>
    <w:rsid w:val="00C24699"/>
    <w:rsid w:val="00CB1CA1"/>
    <w:rsid w:val="00D31F28"/>
    <w:rsid w:val="00D42CD3"/>
    <w:rsid w:val="00D74BFF"/>
    <w:rsid w:val="00D93709"/>
    <w:rsid w:val="00DA4FBA"/>
    <w:rsid w:val="00DB3BE2"/>
    <w:rsid w:val="00DF0BEF"/>
    <w:rsid w:val="00E31BE0"/>
    <w:rsid w:val="00E80DB5"/>
    <w:rsid w:val="00E84219"/>
    <w:rsid w:val="00E94F3A"/>
    <w:rsid w:val="00EB2388"/>
    <w:rsid w:val="00EC17B2"/>
    <w:rsid w:val="00EC192B"/>
    <w:rsid w:val="00EE0008"/>
    <w:rsid w:val="00F00A25"/>
    <w:rsid w:val="00F62C2D"/>
    <w:rsid w:val="00F96610"/>
    <w:rsid w:val="00FE2ECE"/>
    <w:rsid w:val="08042CA2"/>
    <w:rsid w:val="09271825"/>
    <w:rsid w:val="110A6738"/>
    <w:rsid w:val="1B633DA2"/>
    <w:rsid w:val="28D36FDA"/>
    <w:rsid w:val="2B86406E"/>
    <w:rsid w:val="2E3B1AF8"/>
    <w:rsid w:val="304F6244"/>
    <w:rsid w:val="4B5157CB"/>
    <w:rsid w:val="519A1ED9"/>
    <w:rsid w:val="61482832"/>
    <w:rsid w:val="666D4BC8"/>
    <w:rsid w:val="6CA67E59"/>
    <w:rsid w:val="6D4F40E1"/>
    <w:rsid w:val="7BF85B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仿宋" w:asciiTheme="minorHAnsi" w:hAnsiTheme="minorHAnsi" w:cstheme="minorBidi"/>
      <w:kern w:val="2"/>
      <w:sz w:val="28"/>
      <w:szCs w:val="24"/>
      <w:lang w:val="en-US" w:eastAsia="zh-CN" w:bidi="ar-SA"/>
    </w:rPr>
  </w:style>
  <w:style w:type="paragraph" w:styleId="4">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2"/>
    <w:unhideWhenUsed/>
    <w:qFormat/>
    <w:uiPriority w:val="9"/>
    <w:pPr>
      <w:keepNext/>
      <w:keepLines/>
      <w:ind w:firstLine="0" w:firstLineChars="0"/>
      <w:jc w:val="left"/>
      <w:outlineLvl w:val="1"/>
    </w:pPr>
    <w:rPr>
      <w:rFonts w:asciiTheme="majorHAnsi" w:hAnsiTheme="majorHAnsi" w:eastAsiaTheme="majorEastAsia" w:cstheme="majorBidi"/>
      <w:b/>
      <w:bCs/>
      <w:szCs w:val="32"/>
    </w:rPr>
  </w:style>
  <w:style w:type="paragraph" w:styleId="6">
    <w:name w:val="heading 3"/>
    <w:basedOn w:val="1"/>
    <w:next w:val="1"/>
    <w:link w:val="20"/>
    <w:unhideWhenUsed/>
    <w:qFormat/>
    <w:uiPriority w:val="9"/>
    <w:pPr>
      <w:jc w:val="left"/>
      <w:outlineLvl w:val="2"/>
    </w:pPr>
    <w:rPr>
      <w:rFonts w:hint="eastAsia" w:ascii="宋体" w:hAnsi="宋体" w:cs="Times New Roman"/>
      <w:bCs/>
      <w:kern w:val="0"/>
      <w:szCs w:val="27"/>
    </w:rPr>
  </w:style>
  <w:style w:type="paragraph" w:styleId="7">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8"/>
    <w:semiHidden/>
    <w:unhideWhenUsed/>
    <w:qFormat/>
    <w:uiPriority w:val="99"/>
    <w:pPr>
      <w:ind w:firstLine="420" w:firstLineChars="100"/>
    </w:pPr>
  </w:style>
  <w:style w:type="paragraph" w:styleId="3">
    <w:name w:val="Body Text"/>
    <w:basedOn w:val="1"/>
    <w:link w:val="17"/>
    <w:semiHidden/>
    <w:unhideWhenUsed/>
    <w:qFormat/>
    <w:uiPriority w:val="99"/>
    <w:pPr>
      <w:spacing w:after="12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正文文本 Char"/>
    <w:basedOn w:val="13"/>
    <w:link w:val="3"/>
    <w:semiHidden/>
    <w:uiPriority w:val="99"/>
    <w:rPr>
      <w:rFonts w:eastAsia="仿宋"/>
      <w:sz w:val="28"/>
      <w:szCs w:val="24"/>
    </w:rPr>
  </w:style>
  <w:style w:type="character" w:customStyle="1" w:styleId="18">
    <w:name w:val="正文首行缩进 Char"/>
    <w:basedOn w:val="17"/>
    <w:link w:val="2"/>
    <w:semiHidden/>
    <w:qFormat/>
    <w:uiPriority w:val="99"/>
    <w:rPr>
      <w:rFonts w:eastAsia="仿宋"/>
      <w:sz w:val="28"/>
      <w:szCs w:val="24"/>
    </w:rPr>
  </w:style>
  <w:style w:type="paragraph" w:styleId="19">
    <w:name w:val="List Paragraph"/>
    <w:basedOn w:val="1"/>
    <w:qFormat/>
    <w:uiPriority w:val="34"/>
    <w:pPr>
      <w:ind w:firstLine="420"/>
    </w:pPr>
  </w:style>
  <w:style w:type="character" w:customStyle="1" w:styleId="20">
    <w:name w:val="标题 3 Char"/>
    <w:basedOn w:val="13"/>
    <w:link w:val="6"/>
    <w:qFormat/>
    <w:uiPriority w:val="9"/>
    <w:rPr>
      <w:rFonts w:ascii="宋体" w:hAnsi="宋体" w:eastAsia="仿宋" w:cs="Times New Roman"/>
      <w:bCs/>
      <w:kern w:val="0"/>
      <w:sz w:val="28"/>
      <w:szCs w:val="27"/>
    </w:rPr>
  </w:style>
  <w:style w:type="character" w:customStyle="1" w:styleId="21">
    <w:name w:val="标题 1 Char"/>
    <w:basedOn w:val="13"/>
    <w:link w:val="4"/>
    <w:qFormat/>
    <w:uiPriority w:val="9"/>
    <w:rPr>
      <w:rFonts w:eastAsia="仿宋"/>
      <w:b/>
      <w:bCs/>
      <w:kern w:val="44"/>
      <w:sz w:val="44"/>
      <w:szCs w:val="44"/>
    </w:rPr>
  </w:style>
  <w:style w:type="character" w:customStyle="1" w:styleId="22">
    <w:name w:val="标题 2 Char"/>
    <w:basedOn w:val="13"/>
    <w:link w:val="5"/>
    <w:qFormat/>
    <w:uiPriority w:val="9"/>
    <w:rPr>
      <w:rFonts w:asciiTheme="majorHAnsi" w:hAnsiTheme="majorHAnsi" w:eastAsiaTheme="majorEastAsia" w:cstheme="majorBidi"/>
      <w:b/>
      <w:bCs/>
      <w:sz w:val="28"/>
      <w:szCs w:val="32"/>
    </w:rPr>
  </w:style>
  <w:style w:type="character" w:customStyle="1" w:styleId="23">
    <w:name w:val="font21"/>
    <w:basedOn w:val="13"/>
    <w:qFormat/>
    <w:uiPriority w:val="0"/>
    <w:rPr>
      <w:rFonts w:hint="default" w:ascii="仿宋_GB2312" w:eastAsia="仿宋_GB2312" w:cs="仿宋_GB2312"/>
      <w:color w:val="000000"/>
      <w:sz w:val="24"/>
      <w:szCs w:val="24"/>
      <w:u w:val="none"/>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5">
    <w:name w:val="标题 4 Char"/>
    <w:basedOn w:val="13"/>
    <w:link w:val="7"/>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5</Pages>
  <Words>1710</Words>
  <Characters>1842</Characters>
  <Lines>13</Lines>
  <Paragraphs>3</Paragraphs>
  <TotalTime>93</TotalTime>
  <ScaleCrop>false</ScaleCrop>
  <LinksUpToDate>false</LinksUpToDate>
  <CharactersWithSpaces>1848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2022-02-28T06:15:00Z</dcterms:created>
  <dc:creator>China</dc:creator>
  <cp:lastModifiedBy>爱生活⊙﹏⊙爱自己</cp:lastModifiedBy>
  <dcterms:modified xsi:type="dcterms:W3CDTF">2022-07-01T01:36:14Z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5E4A35DFEA664F028C4CA99D0031FDB0</vt:lpwstr>
  </property>
</Properties>
</file>