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b/>
          <w:bCs/>
          <w:sz w:val="32"/>
          <w:szCs w:val="32"/>
        </w:rPr>
      </w:pPr>
      <w:r>
        <w:rPr>
          <w:rFonts w:hint="eastAsia" w:ascii="方正小标宋简体" w:hAnsi="方正小标宋简体" w:eastAsia="方正小标宋简体" w:cs="方正小标宋简体"/>
          <w:b/>
          <w:bCs/>
          <w:sz w:val="44"/>
          <w:szCs w:val="44"/>
        </w:rPr>
        <w:t>交岔乡交岔村“多规合一”实用性村庄规划（2021</w:t>
      </w:r>
      <w:r>
        <w:rPr>
          <w:rFonts w:hint="eastAsia" w:ascii="方正小标宋简体" w:hAnsi="方正小标宋简体" w:eastAsia="方正小标宋简体" w:cs="方正小标宋简体"/>
          <w:b/>
          <w:bCs/>
          <w:sz w:val="44"/>
          <w:szCs w:val="44"/>
        </w:rPr>
        <w:t>-2035）</w:t>
      </w:r>
    </w:p>
    <w:p>
      <w:pPr>
        <w:jc w:val="center"/>
        <w:rPr>
          <w:rFonts w:hint="eastAsia" w:ascii="仿宋_GB2312" w:hAnsi="仿宋_GB2312" w:eastAsia="仿宋_GB2312" w:cs="仿宋_GB2312"/>
          <w:b/>
          <w:bCs/>
          <w:sz w:val="32"/>
          <w:szCs w:val="32"/>
        </w:rPr>
      </w:pP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彭阳县交岔乡交岔村“多规合一”实用性村庄规划（2021-2035）》经广泛调查、论证、深化，目前，规划编制成果已完成，并通过专家评审。根据《中华人民共和国城乡规划法》相关规定、《自然资源部办公厅关于加强村庄规划促进乡村振兴的通知》（自然资办【2019】35号），以及《宁夏回族自治区村庄规划编制导则》的相关要求，为切实增强规划的合理性、可行性和科学性，现依法组织公示活动。</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一、项目名称</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《彭阳县交岔乡交岔村“多规合一”实用性村庄规划（2021-2035）》</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二、村庄类型</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交岔村属集聚提升类村庄。综合考虑各村组发展现状及前景，将其3个自然村进行分类，细化管控措施。其中：交岔组为集聚提升类，英岔组、前台组为整治改善类。</w:t>
      </w:r>
    </w:p>
    <w:p>
      <w:pPr>
        <w:spacing w:line="360" w:lineRule="auto"/>
        <w:ind w:firstLine="640" w:firstLineChars="200"/>
        <w:rPr>
          <w:rFonts w:hint="eastAsia" w:ascii="仿宋_GB2312" w:hAnsi="仿宋_GB2312" w:eastAsia="仿宋_GB2312" w:cs="仿宋_GB2312"/>
          <w:b w:val="0"/>
          <w:bCs w:val="0"/>
          <w:sz w:val="32"/>
          <w:szCs w:val="32"/>
        </w:rPr>
      </w:pPr>
      <w:bookmarkStart w:id="8" w:name="_GoBack"/>
      <w:bookmarkEnd w:id="8"/>
      <w:r>
        <w:rPr>
          <w:rFonts w:hint="eastAsia" w:ascii="仿宋_GB2312" w:hAnsi="仿宋_GB2312" w:eastAsia="仿宋_GB2312" w:cs="仿宋_GB2312"/>
          <w:b w:val="0"/>
          <w:bCs w:val="0"/>
          <w:sz w:val="32"/>
          <w:szCs w:val="32"/>
        </w:rPr>
        <w:t>三、规划范围</w:t>
      </w:r>
    </w:p>
    <w:p>
      <w:pPr>
        <w:spacing w:line="360" w:lineRule="auto"/>
        <w:ind w:firstLine="640" w:firstLineChars="200"/>
        <w:rPr>
          <w:rFonts w:hint="eastAsia" w:ascii="仿宋_GB2312" w:hAnsi="仿宋_GB2312" w:eastAsia="仿宋_GB2312" w:cs="仿宋_GB2312"/>
          <w:b w:val="0"/>
          <w:bCs w:val="0"/>
          <w:sz w:val="32"/>
          <w:szCs w:val="32"/>
        </w:rPr>
      </w:pPr>
      <w:bookmarkStart w:id="0" w:name="_Hlk93751822"/>
      <w:r>
        <w:rPr>
          <w:rFonts w:hint="eastAsia" w:ascii="仿宋_GB2312" w:hAnsi="仿宋_GB2312" w:eastAsia="仿宋_GB2312" w:cs="仿宋_GB2312"/>
          <w:b w:val="0"/>
          <w:bCs w:val="0"/>
          <w:sz w:val="32"/>
          <w:szCs w:val="32"/>
        </w:rPr>
        <w:t>本次村庄规划范围为彭阳县交岔乡交岔村行政辖区内的全部国土空间，下辖3个村民小组，村域国土总面积为1592.17公顷（23882.55亩）。</w:t>
      </w:r>
      <w:bookmarkEnd w:id="0"/>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四、规划期限</w:t>
      </w:r>
    </w:p>
    <w:p>
      <w:pPr>
        <w:spacing w:line="360" w:lineRule="auto"/>
        <w:ind w:firstLine="640" w:firstLineChars="200"/>
        <w:rPr>
          <w:rFonts w:hint="eastAsia" w:ascii="仿宋_GB2312" w:hAnsi="仿宋_GB2312" w:eastAsia="仿宋_GB2312" w:cs="仿宋_GB2312"/>
          <w:b w:val="0"/>
          <w:bCs w:val="0"/>
          <w:sz w:val="32"/>
          <w:szCs w:val="32"/>
        </w:rPr>
      </w:pPr>
      <w:bookmarkStart w:id="1" w:name="_Hlk93751916"/>
      <w:r>
        <w:rPr>
          <w:rFonts w:hint="eastAsia" w:ascii="仿宋_GB2312" w:hAnsi="仿宋_GB2312" w:eastAsia="仿宋_GB2312" w:cs="仿宋_GB2312"/>
          <w:b w:val="0"/>
          <w:bCs w:val="0"/>
          <w:sz w:val="32"/>
          <w:szCs w:val="32"/>
        </w:rPr>
        <w:t>本次规划期限原则上与彭阳县国土空间规划保持一致，并与乡村振兴战略规划、彭阳县国民经济和社会发展第十四个五年规划纲要等规划期限相衔接。因此确定本次规划基期年为2020年，规划期限为2021-2035年，其中：近期2021-2025年、远期：2026-2035年</w:t>
      </w:r>
      <w:bookmarkEnd w:id="1"/>
      <w:r>
        <w:rPr>
          <w:rFonts w:hint="eastAsia" w:ascii="仿宋_GB2312" w:hAnsi="仿宋_GB2312" w:eastAsia="仿宋_GB2312" w:cs="仿宋_GB2312"/>
          <w:b w:val="0"/>
          <w:bCs w:val="0"/>
          <w:sz w:val="32"/>
          <w:szCs w:val="32"/>
        </w:rPr>
        <w:t>。</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五、村庄功能定位</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衔接上位规划中对交岔村的产业引导，交岔乡属于草畜产业区。重点发展肉牛及饲草产业，加快构建以西门塔尔、安格斯为主的品种结构，以轻简化舍饲散养为主的饲喂模式，以专业化繁育育肥为主的生产格局，以青贮玉米、甜高粱和紫花苜蓿为主的牧草种植体系。</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以现有的传统农业种植和牛羊养殖为基础，深度挖掘交岔村特色产业，以生态农业为主要方向，重点发展现代养殖业，配套发展电商服务业，推进产业融合，将交岔村建设成为：“彭阳县县域生态农业产业示范区、重点草畜产业基地”。</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六、产业发展规划</w:t>
      </w:r>
    </w:p>
    <w:p>
      <w:pPr>
        <w:spacing w:line="360" w:lineRule="auto"/>
        <w:ind w:firstLine="640" w:firstLineChars="200"/>
        <w:rPr>
          <w:rFonts w:hint="eastAsia" w:ascii="仿宋_GB2312" w:hAnsi="仿宋_GB2312" w:eastAsia="仿宋_GB2312" w:cs="仿宋_GB2312"/>
          <w:b w:val="0"/>
          <w:bCs w:val="0"/>
          <w:sz w:val="32"/>
          <w:szCs w:val="32"/>
        </w:rPr>
      </w:pPr>
      <w:bookmarkStart w:id="2" w:name="_Hlk99822182"/>
      <w:r>
        <w:rPr>
          <w:rFonts w:hint="eastAsia" w:ascii="仿宋_GB2312" w:hAnsi="仿宋_GB2312" w:eastAsia="仿宋_GB2312" w:cs="仿宋_GB2312"/>
          <w:b w:val="0"/>
          <w:bCs w:val="0"/>
          <w:sz w:val="32"/>
          <w:szCs w:val="32"/>
        </w:rPr>
        <w:t>结合交岔村资源本底及发展现状，确定交岔村产业空间布局结构为“一心、一轴、多区”的产业发展结构。</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一心：</w:t>
      </w:r>
      <w:bookmarkStart w:id="3" w:name="_Hlk99740833"/>
      <w:r>
        <w:rPr>
          <w:rFonts w:hint="eastAsia" w:ascii="仿宋_GB2312" w:hAnsi="仿宋_GB2312" w:eastAsia="仿宋_GB2312" w:cs="仿宋_GB2312"/>
          <w:b w:val="0"/>
          <w:bCs w:val="0"/>
          <w:sz w:val="32"/>
          <w:szCs w:val="32"/>
        </w:rPr>
        <w:t>以交岔组村庄组团及沿街商业形成的</w:t>
      </w:r>
      <w:bookmarkEnd w:id="3"/>
      <w:r>
        <w:rPr>
          <w:rFonts w:hint="eastAsia" w:ascii="仿宋_GB2312" w:hAnsi="仿宋_GB2312" w:eastAsia="仿宋_GB2312" w:cs="仿宋_GB2312"/>
          <w:b w:val="0"/>
          <w:bCs w:val="0"/>
          <w:sz w:val="32"/>
          <w:szCs w:val="32"/>
        </w:rPr>
        <w:t>产业发展核心；</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一轴：沿村庄道路及村组联系形成的村庄产业发展轴；</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多区：综合服务区、绿色种植区、特色畜牧区、林下经济区。</w:t>
      </w:r>
      <w:bookmarkEnd w:id="2"/>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七、国土空间用途管制</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交岔村涉及东南黄土高原丘陵水土保持生态保护红线167.04公顷（2505.60亩）；涉及永久基本农田保护面积为286.71公顷(4300.65亩)；涉及本次规划划定村庄建设控制线面积25.40公顷。</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将交岔村全域国土空间划定</w:t>
      </w:r>
      <w:bookmarkStart w:id="4" w:name="_Hlk99739929"/>
      <w:r>
        <w:rPr>
          <w:rFonts w:hint="eastAsia" w:ascii="仿宋_GB2312" w:hAnsi="仿宋_GB2312" w:eastAsia="仿宋_GB2312" w:cs="仿宋_GB2312"/>
          <w:b w:val="0"/>
          <w:bCs w:val="0"/>
          <w:sz w:val="32"/>
          <w:szCs w:val="32"/>
        </w:rPr>
        <w:t>生态空间、农业空间和建设空间等三类空间</w:t>
      </w:r>
      <w:bookmarkEnd w:id="4"/>
      <w:r>
        <w:rPr>
          <w:rFonts w:hint="eastAsia" w:ascii="仿宋_GB2312" w:hAnsi="仿宋_GB2312" w:eastAsia="仿宋_GB2312" w:cs="仿宋_GB2312"/>
          <w:b w:val="0"/>
          <w:bCs w:val="0"/>
          <w:sz w:val="32"/>
          <w:szCs w:val="32"/>
        </w:rPr>
        <w:t>，按照各类用地功能划分用途分区和控制线,并严格落实土地用途管制。规划至2035年, 交岔村三类空间结构比为11：87：2。其中生态空间169.68公顷、农业空间1386.27公顷、建设空间36.22公顷。</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八、村庄发展规模</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人口规模：交岔村总人口以综合增长率测算近期2025年，交岔村户籍人口约915人，266户；常住人口约745人，216户。远期2035年，交岔村户籍人口约990人，288户；常住人口约770人，224户。</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用地规模：现状建设用地总规模36.28公顷，通过规划综合确定远期2035年，建设用地净减量0.06公顷。做到严格控制建设用地规模，原则上不再扩大，以盘活存量为主，不得占用永久基本农田，最终确定规划建设用地总规模36.22公顷。</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其中：现状村庄建设用地总规模25.46公顷，通过规划综合确定远期2035年，建设用地净减量0.06公顷。做到严格控制建设用地规模，原则上不再扩大，以盘活存量为主，不得占用永久基本农田，最终确定村庄规划建设用地总规模25.40公顷，其中村庄住宅用地面积为15.39公顷。</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九、国土空间结构调整</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根据交岔村村庄发展思路，以三调土地数据为基础，在保持原有村庄肌理的前提下，依据《宁夏回族自治区村庄规划用地分类指引（试行）》中的用地分类，按照土地集约利用的原则，将交岔村零散的各类用地进行规整梳理，规划确定的国土空间格局及管控分区以生态优先、保护耕地、节约集约、布局合理、整体稳定的原则，以基期现状地类为基础，进行全域土地利用规划。</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规划保持交岔村全域土地利用的整体和稳定性，建设用地总量，格局优化，人居环境更美，更加集约节约。</w:t>
      </w:r>
      <w:bookmarkStart w:id="5" w:name="_Hlk86057328"/>
      <w:bookmarkStart w:id="6" w:name="_Hlk87897211"/>
      <w:r>
        <w:rPr>
          <w:rFonts w:hint="eastAsia" w:ascii="仿宋_GB2312" w:hAnsi="仿宋_GB2312" w:eastAsia="仿宋_GB2312" w:cs="仿宋_GB2312"/>
          <w:b w:val="0"/>
          <w:bCs w:val="0"/>
          <w:sz w:val="32"/>
          <w:szCs w:val="32"/>
        </w:rPr>
        <w:t>经过调整后：耕地434.02公顷，林地793.95公顷，草地290.33公顷，农业设施建设用地35.61公顷，居住用地15.93公顷，公共管理与公共服务用地5.45公顷，商业服务业用地0.89公顷，仓储用地0.56公顷，交通运输用地8.92公顷，公用设施用地0.14公顷，绿地与开敞空间用地0.63公顷，特殊用地2.08公顷，留白用地0.78公顷，陆地水域0.21公顷，其他土地2.67公顷</w:t>
      </w:r>
      <w:bookmarkEnd w:id="5"/>
      <w:r>
        <w:rPr>
          <w:rFonts w:hint="eastAsia" w:ascii="仿宋_GB2312" w:hAnsi="仿宋_GB2312" w:eastAsia="仿宋_GB2312" w:cs="仿宋_GB2312"/>
          <w:b w:val="0"/>
          <w:bCs w:val="0"/>
          <w:sz w:val="32"/>
          <w:szCs w:val="32"/>
        </w:rPr>
        <w:t>。</w:t>
      </w:r>
      <w:bookmarkEnd w:id="6"/>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十、居民点建设与设施配给</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规划改造各村民组住宅261户，完善房前屋后及周边绿化7695平方米。</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为保护村庄原有天际线及空间关系，确定本次规划新建住宅以单层建筑为主，沿干路可布置二层建筑。村庄屋顶坡度在30 度以内，重点对屋脊进行装饰，屋顶采用红色瓷瓦，主要以红瓦顺叠形式为主。外墙采用红砖清水墙。</w:t>
      </w:r>
      <w:bookmarkStart w:id="7" w:name="_Hlk84496706"/>
      <w:r>
        <w:rPr>
          <w:rFonts w:hint="eastAsia" w:ascii="仿宋_GB2312" w:hAnsi="仿宋_GB2312" w:eastAsia="仿宋_GB2312" w:cs="仿宋_GB2312"/>
          <w:b w:val="0"/>
          <w:bCs w:val="0"/>
          <w:sz w:val="32"/>
          <w:szCs w:val="32"/>
        </w:rPr>
        <w:t>可通过涂料进行粉刷，涂料以白色、米黄色为主。</w:t>
      </w:r>
      <w:bookmarkEnd w:id="7"/>
      <w:r>
        <w:rPr>
          <w:rFonts w:hint="eastAsia" w:ascii="仿宋_GB2312" w:hAnsi="仿宋_GB2312" w:eastAsia="仿宋_GB2312" w:cs="仿宋_GB2312"/>
          <w:b w:val="0"/>
          <w:bCs w:val="0"/>
          <w:sz w:val="32"/>
          <w:szCs w:val="32"/>
        </w:rPr>
        <w:t>新建住宅院门采用当地民居常见的墙垣门，门框及大门颜色以朱红色为主。建筑采用保温门、双玻塑钢平开窗。建筑材料尽量选用当地建材，主要包括红砖、红瓦、木材、钢筋和水泥等。</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规划近期道路翻修2.36千米、新建硬化道路1.05千米、新建污水管道11.39千米、新建雨水边沟5.39千米、新建地埋式污水沉淀池5处、电力电信设施以整治提升为主规划在前台组周边选址建设通讯基站1处、改造提升现状公厕2座、进行住宅户厕改造、新增路灯117盏、在村庄入口和重要节点增加标识系统。</w:t>
      </w:r>
    </w:p>
    <w:p>
      <w:pPr>
        <w:spacing w:line="360" w:lineRule="auto"/>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近期新建文化活动室1处，结合村委会布置；新建图书室1处，结合村委会布置；完善活动广场1处，位于交岔组，占地5300平方米。</w:t>
      </w:r>
    </w:p>
    <w:p>
      <w:pPr>
        <w:spacing w:line="360" w:lineRule="auto"/>
        <w:ind w:firstLine="640" w:firstLineChars="200"/>
        <w:rPr>
          <w:rFonts w:hint="eastAsia" w:ascii="仿宋_GB2312" w:hAnsi="仿宋_GB2312" w:eastAsia="仿宋_GB2312" w:cs="仿宋_GB2312"/>
          <w:b w:val="0"/>
          <w:bCs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0ODU4N2I0ODM3OTdjMzg1OGEyOTBjMDg0ZjU1MjYifQ=="/>
  </w:docVars>
  <w:rsids>
    <w:rsidRoot w:val="00514E0F"/>
    <w:rsid w:val="00026855"/>
    <w:rsid w:val="00112D36"/>
    <w:rsid w:val="001E18FE"/>
    <w:rsid w:val="00215AAF"/>
    <w:rsid w:val="0030511D"/>
    <w:rsid w:val="00310138"/>
    <w:rsid w:val="00514E0F"/>
    <w:rsid w:val="0056096D"/>
    <w:rsid w:val="00753283"/>
    <w:rsid w:val="00893C10"/>
    <w:rsid w:val="008E0958"/>
    <w:rsid w:val="008F22B0"/>
    <w:rsid w:val="00A549BD"/>
    <w:rsid w:val="00AB21A5"/>
    <w:rsid w:val="00B77776"/>
    <w:rsid w:val="00BA386D"/>
    <w:rsid w:val="00BC243B"/>
    <w:rsid w:val="00C278D0"/>
    <w:rsid w:val="00C309FE"/>
    <w:rsid w:val="00CD27E1"/>
    <w:rsid w:val="00D3491E"/>
    <w:rsid w:val="00D52945"/>
    <w:rsid w:val="00E45B13"/>
    <w:rsid w:val="0D7014D3"/>
    <w:rsid w:val="118F456D"/>
    <w:rsid w:val="15BD2766"/>
    <w:rsid w:val="3811655F"/>
    <w:rsid w:val="57455033"/>
    <w:rsid w:val="5F5E1B86"/>
    <w:rsid w:val="69C06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表格"/>
    <w:basedOn w:val="1"/>
    <w:qFormat/>
    <w:uiPriority w:val="0"/>
    <w:pPr>
      <w:widowControl/>
      <w:spacing w:line="240" w:lineRule="exact"/>
      <w:contextualSpacing/>
      <w:jc w:val="center"/>
    </w:pPr>
    <w:rPr>
      <w:rFonts w:ascii="宋体" w:hAnsi="宋体" w:cs="宋体"/>
      <w:bCs/>
      <w:color w:val="000000"/>
      <w:kern w:val="0"/>
      <w:sz w:val="20"/>
    </w:rPr>
  </w:style>
  <w:style w:type="character" w:customStyle="1" w:styleId="7">
    <w:name w:val="页眉 Char"/>
    <w:basedOn w:val="5"/>
    <w:link w:val="3"/>
    <w:uiPriority w:val="99"/>
    <w:rPr>
      <w:kern w:val="2"/>
      <w:sz w:val="18"/>
      <w:szCs w:val="18"/>
    </w:rPr>
  </w:style>
  <w:style w:type="character" w:customStyle="1" w:styleId="8">
    <w:name w:val="页脚 Char"/>
    <w:basedOn w:val="5"/>
    <w:link w:val="2"/>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2135</Words>
  <Characters>2381</Characters>
  <Lines>17</Lines>
  <Paragraphs>4</Paragraphs>
  <TotalTime>10</TotalTime>
  <ScaleCrop>false</ScaleCrop>
  <LinksUpToDate>false</LinksUpToDate>
  <CharactersWithSpaces>2383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2022-06-27T07:02:00Z</dcterms:created>
  <dc:creator>12812</dc:creator>
  <cp:lastModifiedBy>爱生活⊙﹏⊙爱自己</cp:lastModifiedBy>
  <dcterms:modified xsi:type="dcterms:W3CDTF">2022-06-30T08:01:30Z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0C3A1CEF14FE46B28245A534742B657A</vt:lpwstr>
  </property>
</Properties>
</file>