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：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bidi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彭阳县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心血管病高危人群早期筛查与综合干预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bidi="en-US"/>
        </w:rPr>
        <w:t>项目任务及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 w:bidi="en-US"/>
        </w:rPr>
        <w:t>经费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bidi="en-US"/>
        </w:rPr>
        <w:t>分配表</w:t>
      </w:r>
    </w:p>
    <w:bookmarkEnd w:id="0"/>
    <w:p>
      <w:pPr>
        <w:pStyle w:val="2"/>
        <w:numPr>
          <w:ilvl w:val="0"/>
          <w:numId w:val="0"/>
        </w:numPr>
        <w:ind w:left="142" w:leftChars="0"/>
        <w:jc w:val="center"/>
        <w:rPr>
          <w:rFonts w:hint="eastAsia"/>
        </w:rPr>
      </w:pPr>
    </w:p>
    <w:tbl>
      <w:tblPr>
        <w:tblStyle w:val="8"/>
        <w:tblW w:w="15023" w:type="dxa"/>
        <w:jc w:val="center"/>
        <w:tblInd w:w="-4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796"/>
        <w:gridCol w:w="849"/>
        <w:gridCol w:w="870"/>
        <w:gridCol w:w="669"/>
        <w:gridCol w:w="891"/>
        <w:gridCol w:w="880"/>
        <w:gridCol w:w="800"/>
        <w:gridCol w:w="770"/>
        <w:gridCol w:w="810"/>
        <w:gridCol w:w="718"/>
        <w:gridCol w:w="862"/>
        <w:gridCol w:w="1000"/>
        <w:gridCol w:w="1060"/>
        <w:gridCol w:w="977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心血管病高危人群早期筛查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心血管病高危对象调查及干预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高危对象短期随访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既往高危对象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长期随访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仪器设备及印刷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指导培训及宣传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合计（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任务量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（人）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标准（元）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经费（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元）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任务量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（人）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标准（元）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经费（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元）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任务量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（人）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标准（元）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经费（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元）</w:t>
            </w: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任务量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（人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标准（元）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经费（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元）</w:t>
            </w:r>
          </w:p>
        </w:tc>
        <w:tc>
          <w:tcPr>
            <w:tcW w:w="10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5" w:hRule="atLeast"/>
          <w:jc w:val="center"/>
        </w:trPr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白阳镇卫生院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400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40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1.6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100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40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0.4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500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150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7.5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红河镇卫生院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300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40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1.2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75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40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0.3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500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150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7.5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王洼中心卫生院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300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40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1.2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75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40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0.3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500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150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7.5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县人民医院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250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400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10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县疾控中心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1.5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vertAlign w:val="baseline"/>
                <w:lang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vertAlign w:val="baseline"/>
                <w:lang w:eastAsia="zh-CN" w:bidi="en-US"/>
              </w:rPr>
              <w:t>合计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1000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40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4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1500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400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10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250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40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1500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150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22.5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1.5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 w:bidi="en-US"/>
              </w:rPr>
              <w:t>40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黑体" w:eastAsia="仿宋_GB2312" w:cs="仿宋_GB2312"/>
          <w:b/>
          <w:bCs/>
        </w:rPr>
      </w:pPr>
      <w:r>
        <w:rPr>
          <w:rFonts w:hint="eastAsia" w:ascii="仿宋_GB2312" w:hAnsi="黑体" w:eastAsia="仿宋_GB2312" w:cs="仿宋_GB2312"/>
          <w:b/>
          <w:bCs/>
        </w:rPr>
        <w:t>注：</w:t>
      </w:r>
      <w:r>
        <w:rPr>
          <w:rFonts w:hint="eastAsia" w:ascii="仿宋_GB2312" w:hAnsi="黑体" w:eastAsia="仿宋_GB2312" w:cs="仿宋_GB2312"/>
          <w:b/>
          <w:bCs/>
          <w:lang w:val="en-US" w:eastAsia="zh-CN"/>
        </w:rPr>
        <w:t>1.</w:t>
      </w:r>
      <w:r>
        <w:rPr>
          <w:rFonts w:hint="eastAsia" w:ascii="仿宋_GB2312" w:hAnsi="黑体" w:eastAsia="仿宋_GB2312" w:cs="仿宋_GB2312"/>
          <w:b/>
          <w:bCs/>
        </w:rPr>
        <w:t>.早期筛查包括组织动员、体检、综合干预、数据收集、审核及信息录入、分析等。宣传包括媒体宣传、制作宣传折页、手册、宣传物品等。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720" w:num="1"/>
          <w:rtlGutter w:val="0"/>
          <w:docGrid w:linePitch="312" w:charSpace="0"/>
        </w:sectPr>
      </w:pPr>
      <w:r>
        <w:rPr>
          <w:rFonts w:hint="eastAsia" w:ascii="仿宋_GB2312" w:hAnsi="黑体" w:eastAsia="仿宋_GB2312" w:cs="仿宋_GB2312"/>
          <w:b/>
          <w:bCs/>
          <w:lang w:val="en-US" w:eastAsia="zh-CN"/>
        </w:rPr>
        <w:t>2.</w:t>
      </w:r>
      <w:r>
        <w:rPr>
          <w:rFonts w:hint="eastAsia" w:ascii="仿宋_GB2312" w:hAnsi="黑体" w:eastAsia="仿宋_GB2312" w:cs="仿宋_GB2312"/>
          <w:b/>
          <w:bCs/>
        </w:rPr>
        <w:t>.早期筛查、高危对象调查及干预、随访阶段费用中包含试剂耗材采购费用。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81F2E7"/>
    <w:multiLevelType w:val="multilevel"/>
    <w:tmpl w:val="C981F2E7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431" w:hanging="431"/>
      </w:pPr>
      <w:rPr>
        <w:rFonts w:hint="eastAsia" w:ascii="宋体" w:hAnsi="宋体" w:eastAsia="黑体" w:cs="宋体"/>
        <w:b w:val="0"/>
        <w:i w:val="0"/>
        <w:strike w:val="0"/>
        <w:dstrike w:val="0"/>
        <w:sz w:val="44"/>
        <w:szCs w:val="44"/>
        <w:vertAlign w:val="baseline"/>
      </w:rPr>
    </w:lvl>
    <w:lvl w:ilvl="1" w:tentative="0">
      <w:start w:val="1"/>
      <w:numFmt w:val="chineseCountingThousand"/>
      <w:suff w:val="nothing"/>
      <w:lvlText w:val="(%2)"/>
      <w:lvlJc w:val="left"/>
      <w:pPr>
        <w:tabs>
          <w:tab w:val="left" w:pos="0"/>
        </w:tabs>
        <w:ind w:left="431" w:hanging="431"/>
      </w:pPr>
      <w:rPr>
        <w:rFonts w:hint="eastAsia" w:ascii="宋体" w:hAnsi="宋体" w:eastAsia="宋体" w:cs="Times New Roman"/>
      </w:rPr>
    </w:lvl>
    <w:lvl w:ilvl="2" w:tentative="0">
      <w:start w:val="1"/>
      <w:numFmt w:val="decimal"/>
      <w:pStyle w:val="2"/>
      <w:suff w:val="nothing"/>
      <w:lvlText w:val="%3."/>
      <w:lvlJc w:val="left"/>
      <w:pPr>
        <w:tabs>
          <w:tab w:val="left" w:pos="0"/>
        </w:tabs>
        <w:ind w:left="573" w:hanging="431"/>
      </w:pPr>
      <w:rPr>
        <w:rFonts w:hint="eastAsia" w:cs="Times New Roman"/>
      </w:rPr>
    </w:lvl>
    <w:lvl w:ilvl="3" w:tentative="0">
      <w:start w:val="1"/>
      <w:numFmt w:val="decimal"/>
      <w:suff w:val="nothing"/>
      <w:lvlText w:val="(%4)"/>
      <w:lvlJc w:val="left"/>
      <w:pPr>
        <w:tabs>
          <w:tab w:val="left" w:pos="0"/>
        </w:tabs>
        <w:ind w:left="573" w:hanging="431"/>
      </w:pPr>
      <w:rPr>
        <w:rFonts w:hint="eastAsia" w:cs="Times New Roman"/>
      </w:rPr>
    </w:lvl>
    <w:lvl w:ilvl="4" w:tentative="0">
      <w:start w:val="1"/>
      <w:numFmt w:val="decimal"/>
      <w:suff w:val="nothing"/>
      <w:lvlText w:val="%5)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  <w:lvl w:ilvl="5" w:tentative="0">
      <w:start w:val="1"/>
      <w:numFmt w:val="decimal"/>
      <w:suff w:val="nothing"/>
      <w:lvlText w:val="%1.%2.%3.%4.%5.%6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  <w:lvl w:ilvl="6" w:tentative="0">
      <w:start w:val="1"/>
      <w:numFmt w:val="decimal"/>
      <w:lvlText w:val="%7. 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  <w:lvl w:ilvl="7" w:tentative="0">
      <w:start w:val="1"/>
      <w:numFmt w:val="bullet"/>
      <w:lvlText w:val=""/>
      <w:lvlJc w:val="left"/>
      <w:pPr>
        <w:tabs>
          <w:tab w:val="left" w:pos="0"/>
        </w:tabs>
        <w:ind w:left="431" w:hanging="431"/>
      </w:pPr>
      <w:rPr>
        <w:rFonts w:hint="eastAsia" w:ascii="Symbol" w:hAnsi="Symbol"/>
        <w:color w:val="auto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1180C"/>
    <w:rsid w:val="74F1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widowControl w:val="0"/>
      <w:numPr>
        <w:ilvl w:val="2"/>
        <w:numId w:val="1"/>
      </w:numPr>
      <w:snapToGrid w:val="0"/>
      <w:spacing w:before="20" w:beforeLines="20" w:after="20" w:afterLines="20"/>
      <w:outlineLvl w:val="2"/>
    </w:pPr>
    <w:rPr>
      <w:rFonts w:ascii="仿宋" w:hAnsi="Calibri" w:eastAsia="仿宋" w:cs="Times New Roman"/>
      <w:b/>
      <w:color w:val="000000"/>
      <w:sz w:val="21"/>
      <w:szCs w:val="32"/>
    </w:rPr>
  </w:style>
  <w:style w:type="character" w:default="1" w:styleId="4">
    <w:name w:val="Default Paragraph Font"/>
    <w:link w:val="5"/>
    <w:semiHidden/>
    <w:uiPriority w:val="0"/>
    <w:rPr>
      <w:rFonts w:ascii="Times New Roman" w:hAnsi="Times New Roman"/>
      <w:kern w:val="2"/>
      <w:sz w:val="21"/>
      <w:szCs w:val="24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 Char Char"/>
    <w:basedOn w:val="1"/>
    <w:link w:val="4"/>
    <w:qFormat/>
    <w:uiPriority w:val="0"/>
    <w:pPr>
      <w:spacing w:after="160" w:line="240" w:lineRule="exact"/>
      <w:ind w:firstLine="0"/>
    </w:pPr>
    <w:rPr>
      <w:rFonts w:ascii="Times New Roman" w:hAnsi="Times New Roman"/>
      <w:kern w:val="2"/>
      <w:sz w:val="21"/>
      <w:szCs w:val="24"/>
    </w:rPr>
  </w:style>
  <w:style w:type="character" w:styleId="6">
    <w:name w:val="page number"/>
    <w:basedOn w:val="4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4E7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2019-12-12T02:38:00Z</dcterms:created>
  <dc:creator>春风永巷闲娉婷</dc:creator>
  <cp:lastModifiedBy>春风永巷闲娉婷</cp:lastModifiedBy>
  <dcterms:modified xsi:type="dcterms:W3CDTF">2019-12-12T02:38:38Z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