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24"/>
        </w:rPr>
      </w:pPr>
      <w:bookmarkStart w:id="0" w:name="_GoBack"/>
      <w:r>
        <w:rPr>
          <w:rFonts w:hint="eastAsia" w:ascii="仿宋_GB2312" w:hAnsi="宋体" w:eastAsia="仿宋_GB2312"/>
          <w:b/>
          <w:kern w:val="0"/>
          <w:sz w:val="36"/>
          <w:szCs w:val="36"/>
        </w:rPr>
        <w:t>彭阳县人民代表大会常务委员会办公室2019年部门预算——预算表</w:t>
      </w:r>
    </w:p>
    <w:bookmarkEnd w:id="0"/>
    <w:p>
      <w:pPr>
        <w:widowControl/>
        <w:ind w:firstLine="640" w:firstLineChars="200"/>
        <w:outlineLvl w:val="1"/>
        <w:rPr>
          <w:rFonts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</w:rPr>
        <w:t>一、财政拨款收支预算总表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</w:rPr>
        <w:t>财政拨款收支预算总表</w:t>
      </w:r>
    </w:p>
    <w:p>
      <w:pPr>
        <w:widowControl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单位：万元</w:t>
      </w:r>
    </w:p>
    <w:tbl>
      <w:tblPr>
        <w:tblStyle w:val="4"/>
        <w:tblW w:w="1316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60"/>
        <w:gridCol w:w="1360"/>
        <w:gridCol w:w="3860"/>
        <w:gridCol w:w="1360"/>
        <w:gridCol w:w="1360"/>
        <w:gridCol w:w="13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52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收     入</w:t>
            </w:r>
          </w:p>
        </w:tc>
        <w:tc>
          <w:tcPr>
            <w:tcW w:w="7940" w:type="dxa"/>
            <w:gridSpan w:val="4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支     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0" w:type="dxa"/>
            <w:vMerge w:val="restar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项    目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项目（按功能分类）</w:t>
            </w:r>
          </w:p>
        </w:tc>
        <w:tc>
          <w:tcPr>
            <w:tcW w:w="40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386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  <w:highlight w:val="yellow"/>
              </w:rPr>
              <w:t>一般公共预算财政拨款支出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  <w:highlight w:val="yellow"/>
              </w:rPr>
              <w:t>政府性基金预算财政拨款支出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一、本年收入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674.78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一、本年支出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674.78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674.78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（一）一般公共预算财政拨款收入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674.78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（一）一般公共服务支出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526.49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526.49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（二）政府性基金预算财政拨款收入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（二）外交支出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（三）国防支出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（四）公共安全支出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（五）教育支出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（六）科学技术支出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（七）文化旅游体育与传媒支出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（八）社会保障和就业支出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90.02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90.02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（九）卫生健康支出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29.76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29.76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（十）节能环保支出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（十一）城乡社区支出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（十二）农林水支出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（十三）交通运输支出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（十四）资源勘探信息等支出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（十五）商业服务业等支出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（十六）金融支出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（十七）自然资源海洋气象等支出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（十八）住房保障支出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28.51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28.51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（十九）粮油物资储备支出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（二十）灾害防治及应急管理支出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（二十一）其他支出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二、上年结转结余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　二、年末结转结余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674.78　</w:t>
            </w:r>
          </w:p>
        </w:tc>
        <w:tc>
          <w:tcPr>
            <w:tcW w:w="7940" w:type="dxa"/>
            <w:gridSpan w:val="4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支出总计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674.78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注：支出预算功能科目各单位根据本单位实际据实填写，其他科目删除。</w:t>
      </w:r>
    </w:p>
    <w:p>
      <w:pPr>
        <w:widowControl/>
        <w:ind w:firstLine="640" w:firstLineChars="200"/>
        <w:outlineLvl w:val="1"/>
        <w:rPr>
          <w:rFonts w:ascii="黑体" w:hAnsi="宋体" w:eastAsia="黑体"/>
          <w:b/>
          <w:kern w:val="0"/>
          <w:sz w:val="32"/>
          <w:szCs w:val="32"/>
        </w:rPr>
      </w:pPr>
    </w:p>
    <w:p>
      <w:pPr>
        <w:widowControl/>
        <w:ind w:firstLine="640" w:firstLineChars="200"/>
        <w:outlineLvl w:val="1"/>
        <w:rPr>
          <w:rFonts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</w:rPr>
        <w:t>二、一般公共预算财政拨款支出表</w:t>
      </w:r>
    </w:p>
    <w:p>
      <w:pPr>
        <w:widowControl/>
        <w:ind w:firstLine="720" w:firstLineChars="200"/>
        <w:jc w:val="center"/>
        <w:outlineLvl w:val="1"/>
        <w:rPr>
          <w:rFonts w:ascii="仿宋_GB2312" w:hAnsi="宋体" w:eastAsia="仿宋_GB2312"/>
          <w:b/>
          <w:kern w:val="0"/>
          <w:sz w:val="36"/>
          <w:szCs w:val="36"/>
          <w:highlight w:val="yellow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  <w:highlight w:val="yellow"/>
        </w:rPr>
        <w:t>一般公共预算财政拨款支出表</w:t>
      </w:r>
    </w:p>
    <w:p>
      <w:pPr>
        <w:widowControl/>
        <w:ind w:firstLine="735"/>
        <w:jc w:val="lef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  单位：万元</w:t>
      </w:r>
    </w:p>
    <w:tbl>
      <w:tblPr>
        <w:tblStyle w:val="4"/>
        <w:tblW w:w="1351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7"/>
        <w:gridCol w:w="1980"/>
        <w:gridCol w:w="1779"/>
        <w:gridCol w:w="1620"/>
        <w:gridCol w:w="1800"/>
        <w:gridCol w:w="1980"/>
        <w:gridCol w:w="236"/>
        <w:gridCol w:w="1024"/>
        <w:gridCol w:w="145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77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2018年执行数（决算数）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2019年预算数</w:t>
            </w:r>
          </w:p>
        </w:tc>
        <w:tc>
          <w:tcPr>
            <w:tcW w:w="271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2019年预算数与2018年执行数（决算数）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77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项目支出</w:t>
            </w:r>
          </w:p>
        </w:tc>
        <w:tc>
          <w:tcPr>
            <w:tcW w:w="2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增减额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增减%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79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595.61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674.78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601.78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73</w:t>
            </w:r>
          </w:p>
        </w:tc>
        <w:tc>
          <w:tcPr>
            <w:tcW w:w="2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79.17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13.29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2010101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422.76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430.49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430.49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7.73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1.83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2010102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72.85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-32.85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-45.09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2010104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人大会议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9.92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25.08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252.82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2010106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人大监督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2010108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代表工作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2080504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未归口管理的行政单位离退休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2080505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机关事业单位基本养老保险缴费支出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57.62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47.51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47.51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-10.11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-17.55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2080506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机关事业单位职业年金缴费支出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19.01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19.01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19.01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2089901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其他社会保障和就业支出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2.32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2.5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2.5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0.18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7.76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2101101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行政单位医疗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17.83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19.01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19.01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1.18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6.62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2101103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公务员医疗补助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9.31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10.75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10.75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1.44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15.47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2210201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28.51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28.51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28.51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</w:tbl>
    <w:p>
      <w:pPr>
        <w:widowControl/>
        <w:spacing w:line="520" w:lineRule="exact"/>
        <w:ind w:firstLine="640" w:firstLineChars="200"/>
        <w:outlineLvl w:val="1"/>
        <w:rPr>
          <w:rFonts w:ascii="黑体" w:hAnsi="宋体" w:eastAsia="黑体"/>
          <w:b/>
          <w:kern w:val="0"/>
          <w:sz w:val="32"/>
          <w:szCs w:val="32"/>
        </w:rPr>
      </w:pPr>
    </w:p>
    <w:p>
      <w:pPr>
        <w:widowControl/>
        <w:spacing w:line="520" w:lineRule="exact"/>
        <w:ind w:firstLine="640" w:firstLineChars="200"/>
        <w:outlineLvl w:val="1"/>
        <w:rPr>
          <w:rFonts w:ascii="黑体" w:hAnsi="宋体" w:eastAsia="黑体"/>
          <w:b/>
          <w:kern w:val="0"/>
          <w:sz w:val="32"/>
          <w:szCs w:val="32"/>
        </w:rPr>
      </w:pPr>
    </w:p>
    <w:p>
      <w:pPr>
        <w:widowControl/>
        <w:spacing w:line="520" w:lineRule="exact"/>
        <w:ind w:firstLine="640" w:firstLineChars="200"/>
        <w:outlineLvl w:val="1"/>
        <w:rPr>
          <w:rFonts w:ascii="黑体" w:hAnsi="宋体" w:eastAsia="黑体"/>
          <w:b/>
          <w:kern w:val="0"/>
          <w:sz w:val="32"/>
          <w:szCs w:val="32"/>
        </w:rPr>
      </w:pPr>
    </w:p>
    <w:p>
      <w:pPr>
        <w:widowControl/>
        <w:spacing w:line="520" w:lineRule="exact"/>
        <w:ind w:firstLine="640" w:firstLineChars="200"/>
        <w:outlineLvl w:val="1"/>
        <w:rPr>
          <w:rFonts w:ascii="黑体" w:hAnsi="宋体" w:eastAsia="黑体"/>
          <w:b/>
          <w:kern w:val="0"/>
          <w:sz w:val="32"/>
          <w:szCs w:val="32"/>
        </w:rPr>
      </w:pPr>
    </w:p>
    <w:p>
      <w:pPr>
        <w:widowControl/>
        <w:spacing w:line="520" w:lineRule="exact"/>
        <w:ind w:firstLine="640" w:firstLineChars="200"/>
        <w:outlineLvl w:val="1"/>
        <w:rPr>
          <w:rFonts w:ascii="黑体" w:hAnsi="宋体" w:eastAsia="黑体"/>
          <w:b/>
          <w:kern w:val="0"/>
          <w:sz w:val="32"/>
          <w:szCs w:val="32"/>
        </w:rPr>
      </w:pPr>
    </w:p>
    <w:p>
      <w:pPr>
        <w:widowControl/>
        <w:spacing w:line="520" w:lineRule="exact"/>
        <w:ind w:firstLine="640" w:firstLineChars="200"/>
        <w:outlineLvl w:val="1"/>
        <w:rPr>
          <w:rFonts w:ascii="黑体" w:hAnsi="宋体" w:eastAsia="黑体"/>
          <w:b/>
          <w:kern w:val="0"/>
          <w:sz w:val="32"/>
          <w:szCs w:val="32"/>
        </w:rPr>
      </w:pPr>
    </w:p>
    <w:p>
      <w:pPr>
        <w:widowControl/>
        <w:spacing w:line="520" w:lineRule="exact"/>
        <w:ind w:firstLine="640" w:firstLineChars="200"/>
        <w:outlineLvl w:val="1"/>
        <w:rPr>
          <w:rFonts w:ascii="黑体" w:hAnsi="宋体" w:eastAsia="黑体"/>
          <w:b/>
          <w:kern w:val="0"/>
          <w:sz w:val="32"/>
          <w:szCs w:val="32"/>
        </w:rPr>
      </w:pPr>
    </w:p>
    <w:p>
      <w:pPr>
        <w:widowControl/>
        <w:spacing w:line="520" w:lineRule="exact"/>
        <w:ind w:firstLine="640" w:firstLineChars="200"/>
        <w:outlineLvl w:val="1"/>
        <w:rPr>
          <w:rFonts w:ascii="黑体" w:hAnsi="宋体" w:eastAsia="黑体"/>
          <w:b/>
          <w:kern w:val="0"/>
          <w:sz w:val="32"/>
          <w:szCs w:val="32"/>
        </w:rPr>
      </w:pPr>
    </w:p>
    <w:p>
      <w:pPr>
        <w:widowControl/>
        <w:spacing w:line="520" w:lineRule="exact"/>
        <w:ind w:firstLine="640" w:firstLineChars="200"/>
        <w:outlineLvl w:val="1"/>
        <w:rPr>
          <w:rFonts w:ascii="黑体" w:hAnsi="宋体" w:eastAsia="黑体"/>
          <w:b/>
          <w:kern w:val="0"/>
          <w:sz w:val="32"/>
          <w:szCs w:val="32"/>
        </w:rPr>
      </w:pPr>
    </w:p>
    <w:p>
      <w:pPr>
        <w:widowControl/>
        <w:spacing w:line="520" w:lineRule="exact"/>
        <w:ind w:firstLine="640" w:firstLineChars="200"/>
        <w:outlineLvl w:val="1"/>
        <w:rPr>
          <w:rFonts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</w:rPr>
        <w:t>三、一般公共预算财政拨款基本支出表</w:t>
      </w:r>
    </w:p>
    <w:p>
      <w:pPr>
        <w:widowControl/>
        <w:spacing w:line="520" w:lineRule="exact"/>
        <w:ind w:firstLine="2880" w:firstLineChars="800"/>
        <w:outlineLvl w:val="1"/>
        <w:rPr>
          <w:rFonts w:ascii="仿宋_GB2312" w:hAnsi="宋体" w:eastAsia="仿宋_GB2312"/>
          <w:b/>
          <w:kern w:val="0"/>
          <w:sz w:val="36"/>
          <w:szCs w:val="36"/>
          <w:highlight w:val="yellow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  <w:highlight w:val="yellow"/>
        </w:rPr>
        <w:t xml:space="preserve">一般公共预算财政拨款基本支出表             </w:t>
      </w:r>
      <w:r>
        <w:rPr>
          <w:rFonts w:hint="eastAsia" w:ascii="仿宋_GB2312" w:hAnsi="宋体" w:eastAsia="仿宋_GB2312"/>
          <w:kern w:val="0"/>
          <w:sz w:val="32"/>
          <w:szCs w:val="32"/>
        </w:rPr>
        <w:t>单位：万元</w:t>
      </w:r>
    </w:p>
    <w:tbl>
      <w:tblPr>
        <w:tblStyle w:val="4"/>
        <w:tblpPr w:leftFromText="180" w:rightFromText="180" w:vertAnchor="text" w:horzAnchor="page" w:tblpX="1537" w:tblpY="354"/>
        <w:tblOverlap w:val="never"/>
        <w:tblW w:w="1351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7"/>
        <w:gridCol w:w="3600"/>
        <w:gridCol w:w="2520"/>
        <w:gridCol w:w="2700"/>
        <w:gridCol w:w="23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5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经济科目</w:t>
            </w:r>
          </w:p>
        </w:tc>
        <w:tc>
          <w:tcPr>
            <w:tcW w:w="7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基本支出预算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科目编码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科目名称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合计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人员支出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日常公用支出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5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总计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601.78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514.76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87.02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一、工资福利支出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494.3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494.3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基本工资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130.11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130.11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津贴补贴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159.83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159.83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奖金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10.01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10.01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伙食补助费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绩效工资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机关事业单位基本养老保险缴费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47.51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47.51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职业年金缴费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19.01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19.01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30110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职工基本医疗保险缴费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19.01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19.01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30111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公务员医疗补助缴费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5.94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5.94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30112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其他社会保障缴费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2.5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2.5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/>
                <w:sz w:val="22"/>
                <w:szCs w:val="22"/>
                <w:highlight w:val="yellow"/>
              </w:rPr>
              <w:t>30113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/>
                <w:sz w:val="22"/>
                <w:szCs w:val="22"/>
                <w:highlight w:val="yellow"/>
              </w:rPr>
              <w:t>住房公积金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28.51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28.51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30114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医疗费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其他工资福利支出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71.87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71.87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二、商品和服务支出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63.02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63.02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办公费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印刷费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咨询费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手续费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电费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邮电费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取暖费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物业管理费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差旅费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因公出国（境）费用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维修（护）费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租赁费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会议费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培训费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公务接待费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0.15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0.15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专用材料费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30224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被装购置费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30225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专用燃料费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30226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劳务费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30227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委托业务费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30228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工会经费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4.6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30229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福利费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30231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公务用车运行维护费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30239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其他交通费用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24.72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24.72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30240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税金及附加费用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其他商品和服务支出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22.55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22.55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三、对个人和家庭的补助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44.46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20.46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离休费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退休费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15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15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退职（役）费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抚恤金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生活补助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0.65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0.65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救济费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医疗费补助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4.81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4.81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助学金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奖励金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30310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个人农业生产补贴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其他对个人和家庭的补助支出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24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310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四、资本性支出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31002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办公设备购置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31003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专用设备购置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31007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信息网络及软件购置更新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31099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其他资本性支出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</w:tr>
    </w:tbl>
    <w:p>
      <w:pPr>
        <w:widowControl/>
        <w:spacing w:line="520" w:lineRule="exact"/>
        <w:ind w:firstLine="1280" w:firstLineChars="400"/>
        <w:jc w:val="left"/>
        <w:outlineLvl w:val="1"/>
        <w:rPr>
          <w:rFonts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</w:rPr>
        <w:t>四、一般公共预算财政拨款“三公”经费支出表</w:t>
      </w:r>
    </w:p>
    <w:p>
      <w:pPr>
        <w:widowControl/>
        <w:ind w:firstLine="720" w:firstLineChars="200"/>
        <w:jc w:val="center"/>
        <w:outlineLvl w:val="1"/>
        <w:rPr>
          <w:rFonts w:ascii="仿宋_GB2312" w:hAnsi="宋体" w:eastAsia="仿宋_GB2312"/>
          <w:b/>
          <w:kern w:val="0"/>
          <w:sz w:val="36"/>
          <w:szCs w:val="36"/>
          <w:highlight w:val="yellow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  <w:highlight w:val="yellow"/>
        </w:rPr>
        <w:t>一般公共预算财政拨款“三公”经费支出表</w:t>
      </w:r>
    </w:p>
    <w:p>
      <w:pPr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         单位：万元</w:t>
      </w:r>
    </w:p>
    <w:tbl>
      <w:tblPr>
        <w:tblStyle w:val="4"/>
        <w:tblW w:w="14056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739"/>
        <w:gridCol w:w="739"/>
        <w:gridCol w:w="739"/>
        <w:gridCol w:w="740"/>
        <w:gridCol w:w="740"/>
        <w:gridCol w:w="739"/>
        <w:gridCol w:w="739"/>
        <w:gridCol w:w="739"/>
        <w:gridCol w:w="740"/>
        <w:gridCol w:w="741"/>
        <w:gridCol w:w="741"/>
        <w:gridCol w:w="740"/>
        <w:gridCol w:w="740"/>
        <w:gridCol w:w="740"/>
        <w:gridCol w:w="740"/>
        <w:gridCol w:w="741"/>
        <w:gridCol w:w="740"/>
        <w:gridCol w:w="5"/>
        <w:gridCol w:w="729"/>
        <w:gridCol w:w="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4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2018年预算数</w:t>
            </w:r>
          </w:p>
        </w:tc>
        <w:tc>
          <w:tcPr>
            <w:tcW w:w="443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2018年执行数（决算数）</w:t>
            </w:r>
          </w:p>
        </w:tc>
        <w:tc>
          <w:tcPr>
            <w:tcW w:w="444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2019年预算数（控制数）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170" w:hRule="atLeast"/>
        </w:trPr>
        <w:tc>
          <w:tcPr>
            <w:tcW w:w="73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73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2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2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2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73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170" w:hRule="atLeast"/>
        </w:trPr>
        <w:tc>
          <w:tcPr>
            <w:tcW w:w="7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55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25.65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3.65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6.2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5.55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5.55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0.65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6.2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5.55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5.55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0.65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55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55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55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55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ind w:firstLine="627" w:firstLineChars="196"/>
        <w:outlineLvl w:val="1"/>
        <w:rPr>
          <w:rFonts w:ascii="黑体" w:hAnsi="宋体" w:eastAsia="黑体"/>
          <w:b/>
          <w:kern w:val="0"/>
          <w:sz w:val="32"/>
          <w:szCs w:val="32"/>
          <w:highlight w:val="yellow"/>
        </w:rPr>
      </w:pPr>
      <w:r>
        <w:rPr>
          <w:rFonts w:hint="eastAsia" w:ascii="黑体" w:hAnsi="宋体" w:eastAsia="黑体"/>
          <w:b/>
          <w:kern w:val="0"/>
          <w:sz w:val="32"/>
          <w:szCs w:val="32"/>
          <w:highlight w:val="yellow"/>
        </w:rPr>
        <w:t>五、政府性基金预算财政拨款支出表</w:t>
      </w:r>
    </w:p>
    <w:p>
      <w:pPr>
        <w:widowControl/>
        <w:ind w:firstLine="720" w:firstLineChars="200"/>
        <w:jc w:val="center"/>
        <w:outlineLvl w:val="1"/>
        <w:rPr>
          <w:rFonts w:ascii="仿宋_GB2312" w:hAnsi="宋体" w:eastAsia="仿宋_GB2312"/>
          <w:b/>
          <w:kern w:val="0"/>
          <w:sz w:val="36"/>
          <w:szCs w:val="36"/>
          <w:highlight w:val="yellow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  <w:highlight w:val="yellow"/>
        </w:rPr>
        <w:t>政府性基金预算财政拨款支出表</w:t>
      </w:r>
    </w:p>
    <w:p>
      <w:pPr>
        <w:widowControl/>
        <w:ind w:firstLine="720" w:firstLineChars="200"/>
        <w:jc w:val="center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</w:rPr>
        <w:t xml:space="preserve">                                                                </w:t>
      </w:r>
      <w:r>
        <w:rPr>
          <w:rFonts w:hint="eastAsia" w:ascii="仿宋_GB2312" w:hAnsi="宋体" w:eastAsia="仿宋_GB2312"/>
          <w:kern w:val="0"/>
          <w:sz w:val="32"/>
          <w:szCs w:val="32"/>
        </w:rPr>
        <w:t>单位：万元</w:t>
      </w:r>
    </w:p>
    <w:tbl>
      <w:tblPr>
        <w:tblStyle w:val="4"/>
        <w:tblW w:w="1418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功能分类科目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2018年执行数（决算数）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70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2019年预算数</w:t>
            </w:r>
          </w:p>
        </w:tc>
        <w:tc>
          <w:tcPr>
            <w:tcW w:w="28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2019年预算数与2018年执行数（决算数）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科目编码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科目名称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合计</w:t>
            </w:r>
          </w:p>
        </w:tc>
        <w:tc>
          <w:tcPr>
            <w:tcW w:w="42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基本支出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项目支出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增减额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增减%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人员经费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日常公用经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>
      <w:pPr>
        <w:widowControl/>
        <w:ind w:firstLine="640" w:firstLineChars="200"/>
        <w:outlineLvl w:val="1"/>
        <w:rPr>
          <w:rFonts w:ascii="黑体" w:hAnsi="宋体" w:eastAsia="黑体"/>
          <w:b/>
          <w:kern w:val="0"/>
          <w:sz w:val="32"/>
          <w:szCs w:val="32"/>
          <w:highlight w:val="yellow"/>
        </w:rPr>
      </w:pPr>
      <w:r>
        <w:rPr>
          <w:rFonts w:hint="eastAsia" w:ascii="黑体" w:hAnsi="宋体" w:eastAsia="黑体"/>
          <w:b/>
          <w:kern w:val="0"/>
          <w:sz w:val="32"/>
          <w:szCs w:val="32"/>
          <w:highlight w:val="yellow"/>
        </w:rPr>
        <w:t>六、部门收支预算总表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</w:rPr>
        <w:t>部门收支预算总表</w:t>
      </w:r>
    </w:p>
    <w:p>
      <w:pPr>
        <w:widowControl/>
        <w:jc w:val="right"/>
        <w:outlineLvl w:val="1"/>
        <w:rPr>
          <w:rFonts w:ascii="仿宋_GB2312" w:hAnsi="宋体" w:eastAsia="仿宋_GB2312"/>
          <w:b/>
          <w:kern w:val="0"/>
          <w:sz w:val="36"/>
          <w:szCs w:val="36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单位：万元</w:t>
      </w:r>
    </w:p>
    <w:tbl>
      <w:tblPr>
        <w:tblStyle w:val="4"/>
        <w:tblW w:w="13857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5235"/>
        <w:gridCol w:w="1800"/>
        <w:gridCol w:w="5022"/>
        <w:gridCol w:w="1800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703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收     入</w:t>
            </w:r>
          </w:p>
        </w:tc>
        <w:tc>
          <w:tcPr>
            <w:tcW w:w="682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支     出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一、财政拨款预算收入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674.78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一、行政支出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674.78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（1）一般公共预算财政拨款收入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674.78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其中：财政拨款支出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674.78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（2） 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非同级财政拨款支出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二、事业预算收入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二、事业支出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其中：非同级财政拨款（科研及辅助活动）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其中：财政拨款支出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纳入财政专户管理的非税收入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非同级财政拨款支出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三、上级补助预算收入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三、经营支出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四、附属单位上缴预算收入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四、上缴上级支出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五、经营预算收入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五、对附属单位补助支出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六、债务预算收入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六、投资支出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七、非同级财政拨款预算收入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七、债务还本支出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八、投资预算收益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八、其他支出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九、其他预算收入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本年收入合计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674.78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本年支出合计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674.78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十、上年结转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九、年末结转结余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（1）财政拨款结转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（1）财政拨款结转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（2）非财政拨款结转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（2）财政拨款结余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其中：本级横向财政拨款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非本级财政拨款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十一、上年结余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（3）非财政拨款结转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（1）财政拨款结余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其中：本级横向财政拨款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非本级财政拨款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（4）非财政拨款结余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（2）非财政拨款结余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其中：本级横向财政拨款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其中：本级横向财政拨款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非本级财政拨款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非本级财政拨款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（5）专用结余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（3）专用结余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（6）经营结余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（4）经营结余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674.78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支出总计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674.78</w:t>
            </w:r>
          </w:p>
        </w:tc>
      </w:tr>
    </w:tbl>
    <w:p>
      <w:pPr>
        <w:widowControl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</w:t>
      </w:r>
    </w:p>
    <w:p>
      <w:pPr>
        <w:widowControl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ind w:firstLine="735"/>
        <w:jc w:val="left"/>
        <w:outlineLvl w:val="1"/>
        <w:rPr>
          <w:rFonts w:ascii="黑体" w:hAnsi="宋体" w:eastAsia="黑体"/>
          <w:b/>
          <w:bCs/>
          <w:kern w:val="0"/>
          <w:sz w:val="32"/>
          <w:szCs w:val="32"/>
          <w:highlight w:val="yellow"/>
        </w:rPr>
      </w:pPr>
      <w:r>
        <w:rPr>
          <w:rFonts w:hint="eastAsia" w:ascii="黑体" w:hAnsi="宋体" w:eastAsia="黑体"/>
          <w:b/>
          <w:bCs/>
          <w:kern w:val="0"/>
          <w:sz w:val="32"/>
          <w:szCs w:val="32"/>
          <w:highlight w:val="yellow"/>
        </w:rPr>
        <w:t>七、部门收入总表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bCs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bCs/>
          <w:kern w:val="0"/>
          <w:sz w:val="36"/>
          <w:szCs w:val="36"/>
        </w:rPr>
        <w:t>部门收入总表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      单位：万元</w:t>
      </w:r>
    </w:p>
    <w:tbl>
      <w:tblPr>
        <w:tblStyle w:val="4"/>
        <w:tblW w:w="13890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275"/>
        <w:gridCol w:w="839"/>
        <w:gridCol w:w="839"/>
        <w:gridCol w:w="839"/>
        <w:gridCol w:w="839"/>
        <w:gridCol w:w="860"/>
        <w:gridCol w:w="839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本年收入合计</w:t>
            </w:r>
          </w:p>
        </w:tc>
        <w:tc>
          <w:tcPr>
            <w:tcW w:w="25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财政拨款预算收入</w:t>
            </w:r>
          </w:p>
        </w:tc>
        <w:tc>
          <w:tcPr>
            <w:tcW w:w="25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事业预算收入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上级补助预算收入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附属单位上缴预算收入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经营预算收入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债务预算收入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非同级财政拨款预算收入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投资预算收益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其他预算收入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一般公共预算财政拨款收入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政府性基金预算财政拨款收入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86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其中：</w:t>
            </w:r>
          </w:p>
        </w:tc>
        <w:tc>
          <w:tcPr>
            <w:tcW w:w="8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非本级财政拨款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本级横向财政拨款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2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非同级财政拨款（科研及辅助活动）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纳入财政专户管理的非税收入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590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674.78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674.78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674.78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644"/>
              </w:tabs>
              <w:ind w:right="132" w:rightChars="63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ind w:firstLine="627" w:firstLineChars="196"/>
        <w:jc w:val="left"/>
        <w:outlineLvl w:val="1"/>
        <w:rPr>
          <w:rFonts w:ascii="黑体" w:hAnsi="宋体" w:eastAsia="黑体"/>
          <w:b/>
          <w:bCs/>
          <w:kern w:val="0"/>
          <w:sz w:val="32"/>
          <w:szCs w:val="32"/>
          <w:highlight w:val="yellow"/>
        </w:rPr>
      </w:pPr>
      <w:r>
        <w:rPr>
          <w:rFonts w:hint="eastAsia" w:ascii="黑体" w:hAnsi="宋体" w:eastAsia="黑体"/>
          <w:b/>
          <w:bCs/>
          <w:kern w:val="0"/>
          <w:sz w:val="32"/>
          <w:szCs w:val="32"/>
          <w:highlight w:val="yellow"/>
        </w:rPr>
        <w:t>八、部门支出总表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bCs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bCs/>
          <w:kern w:val="0"/>
          <w:sz w:val="36"/>
          <w:szCs w:val="36"/>
        </w:rPr>
        <w:t>部门支出总表</w:t>
      </w:r>
    </w:p>
    <w:p>
      <w:pPr>
        <w:rPr>
          <w:szCs w:val="21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        单位：万元</w:t>
      </w:r>
    </w:p>
    <w:tbl>
      <w:tblPr>
        <w:tblStyle w:val="4"/>
        <w:tblW w:w="13833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995"/>
        <w:gridCol w:w="1317"/>
        <w:gridCol w:w="1317"/>
        <w:gridCol w:w="1317"/>
        <w:gridCol w:w="1316"/>
        <w:gridCol w:w="1316"/>
        <w:gridCol w:w="1316"/>
        <w:gridCol w:w="1316"/>
        <w:gridCol w:w="1316"/>
        <w:gridCol w:w="1307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8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本年支出合计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行政支出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事业支出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经营支出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上缴上级支出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对附属单位补助支出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投资支出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债务还本支出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其他支出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674.78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674.78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2010101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430.49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430.49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2010102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2010104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2010106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2010108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2080504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2080505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47.51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47.51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2080506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19.01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19.01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2089901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2.5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2.5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2101101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19.01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19.01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2101103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10.75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10.75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2210201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28.51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28.51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AndChars" w:linePitch="312" w:charSpace="0"/>
        </w:sectPr>
      </w:pPr>
    </w:p>
    <w:p/>
    <w:p>
      <w:pPr>
        <w:widowControl/>
        <w:ind w:firstLine="640" w:firstLineChars="200"/>
        <w:jc w:val="left"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ind w:firstLine="645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</w:t>
      </w:r>
    </w:p>
    <w:p>
      <w:pPr>
        <w:jc w:val="left"/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176ECE"/>
    <w:rsid w:val="001B188A"/>
    <w:rsid w:val="002F43EF"/>
    <w:rsid w:val="00623772"/>
    <w:rsid w:val="006C207E"/>
    <w:rsid w:val="007B251F"/>
    <w:rsid w:val="00C716C6"/>
    <w:rsid w:val="00F76092"/>
    <w:rsid w:val="013602F3"/>
    <w:rsid w:val="019A7F46"/>
    <w:rsid w:val="02381745"/>
    <w:rsid w:val="02B30313"/>
    <w:rsid w:val="02CF58DC"/>
    <w:rsid w:val="03F50D1C"/>
    <w:rsid w:val="043B0E34"/>
    <w:rsid w:val="04AD5063"/>
    <w:rsid w:val="05864481"/>
    <w:rsid w:val="05DA0D2F"/>
    <w:rsid w:val="07AC6821"/>
    <w:rsid w:val="08780C08"/>
    <w:rsid w:val="091239A8"/>
    <w:rsid w:val="09514E81"/>
    <w:rsid w:val="09DF7A75"/>
    <w:rsid w:val="0AFD4CCE"/>
    <w:rsid w:val="0C271602"/>
    <w:rsid w:val="0CBD53A1"/>
    <w:rsid w:val="0E412ABF"/>
    <w:rsid w:val="0E494E6E"/>
    <w:rsid w:val="0F390FDC"/>
    <w:rsid w:val="104C496B"/>
    <w:rsid w:val="120551AE"/>
    <w:rsid w:val="1240330A"/>
    <w:rsid w:val="13DC79DD"/>
    <w:rsid w:val="15AA5E37"/>
    <w:rsid w:val="18A1291E"/>
    <w:rsid w:val="19F57AE0"/>
    <w:rsid w:val="1AFE0B86"/>
    <w:rsid w:val="1BAE21C1"/>
    <w:rsid w:val="1CDA4A3F"/>
    <w:rsid w:val="1D102C15"/>
    <w:rsid w:val="1D8255DF"/>
    <w:rsid w:val="1DF43449"/>
    <w:rsid w:val="1F1851B3"/>
    <w:rsid w:val="20BC250B"/>
    <w:rsid w:val="20F35EC4"/>
    <w:rsid w:val="246D04B3"/>
    <w:rsid w:val="252E2772"/>
    <w:rsid w:val="252F27A8"/>
    <w:rsid w:val="27CE32CB"/>
    <w:rsid w:val="28412477"/>
    <w:rsid w:val="28C60145"/>
    <w:rsid w:val="2BAE6305"/>
    <w:rsid w:val="2C464BB8"/>
    <w:rsid w:val="2D4202EE"/>
    <w:rsid w:val="2EB74B92"/>
    <w:rsid w:val="2EEB239C"/>
    <w:rsid w:val="2FBC37AE"/>
    <w:rsid w:val="3027477E"/>
    <w:rsid w:val="31465CBC"/>
    <w:rsid w:val="316531FB"/>
    <w:rsid w:val="33347679"/>
    <w:rsid w:val="33C66616"/>
    <w:rsid w:val="34396828"/>
    <w:rsid w:val="345D0589"/>
    <w:rsid w:val="35D47665"/>
    <w:rsid w:val="361E5C13"/>
    <w:rsid w:val="367C6A88"/>
    <w:rsid w:val="37F803F3"/>
    <w:rsid w:val="38187CC8"/>
    <w:rsid w:val="386F62CE"/>
    <w:rsid w:val="392D2420"/>
    <w:rsid w:val="396560DA"/>
    <w:rsid w:val="39A816D2"/>
    <w:rsid w:val="39BC0358"/>
    <w:rsid w:val="3AE33438"/>
    <w:rsid w:val="3DED6142"/>
    <w:rsid w:val="3E77430B"/>
    <w:rsid w:val="3F020054"/>
    <w:rsid w:val="40456348"/>
    <w:rsid w:val="40B65BD6"/>
    <w:rsid w:val="40C477C2"/>
    <w:rsid w:val="40FB4B75"/>
    <w:rsid w:val="4358632C"/>
    <w:rsid w:val="43AC783E"/>
    <w:rsid w:val="43F97C37"/>
    <w:rsid w:val="44092C7C"/>
    <w:rsid w:val="44A57AFB"/>
    <w:rsid w:val="461E2A79"/>
    <w:rsid w:val="475705AF"/>
    <w:rsid w:val="48A31772"/>
    <w:rsid w:val="4A2A1AAF"/>
    <w:rsid w:val="4A723A9C"/>
    <w:rsid w:val="4D834BF3"/>
    <w:rsid w:val="4D950B39"/>
    <w:rsid w:val="4E5015D7"/>
    <w:rsid w:val="4F2017FF"/>
    <w:rsid w:val="50AE5657"/>
    <w:rsid w:val="52337978"/>
    <w:rsid w:val="54C4291E"/>
    <w:rsid w:val="55217E90"/>
    <w:rsid w:val="5622394B"/>
    <w:rsid w:val="566E28A9"/>
    <w:rsid w:val="58862A25"/>
    <w:rsid w:val="58D86FD4"/>
    <w:rsid w:val="5A907121"/>
    <w:rsid w:val="5D5407C2"/>
    <w:rsid w:val="5E86493A"/>
    <w:rsid w:val="5F1106E0"/>
    <w:rsid w:val="60CB144B"/>
    <w:rsid w:val="624B129F"/>
    <w:rsid w:val="63176ECE"/>
    <w:rsid w:val="637B27D9"/>
    <w:rsid w:val="64271DF0"/>
    <w:rsid w:val="64EB3E75"/>
    <w:rsid w:val="65BE26A8"/>
    <w:rsid w:val="662319DF"/>
    <w:rsid w:val="678870BB"/>
    <w:rsid w:val="67EF54C7"/>
    <w:rsid w:val="6B793602"/>
    <w:rsid w:val="6DC66C38"/>
    <w:rsid w:val="6DE10988"/>
    <w:rsid w:val="6E5B5DDA"/>
    <w:rsid w:val="6EB5754D"/>
    <w:rsid w:val="6EE30C56"/>
    <w:rsid w:val="70C20E6A"/>
    <w:rsid w:val="71875F3A"/>
    <w:rsid w:val="71E80FFA"/>
    <w:rsid w:val="722E6A80"/>
    <w:rsid w:val="733F63FD"/>
    <w:rsid w:val="734B2182"/>
    <w:rsid w:val="734D58FB"/>
    <w:rsid w:val="74BE3BF4"/>
    <w:rsid w:val="75446445"/>
    <w:rsid w:val="76420FF5"/>
    <w:rsid w:val="76FD376F"/>
    <w:rsid w:val="77AA7A0E"/>
    <w:rsid w:val="785047B6"/>
    <w:rsid w:val="788F3C03"/>
    <w:rsid w:val="78A974FE"/>
    <w:rsid w:val="7BA155CF"/>
    <w:rsid w:val="7BE12BCB"/>
    <w:rsid w:val="7C80361C"/>
    <w:rsid w:val="7E78129A"/>
    <w:rsid w:val="7E8519C7"/>
    <w:rsid w:val="7EC8203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Emphasis"/>
    <w:basedOn w:val="2"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25</Pages>
  <Words>1730</Words>
  <Characters>9867</Characters>
  <Lines>82</Lines>
  <Paragraphs>23</Paragraphs>
  <ScaleCrop>false</ScaleCrop>
  <LinksUpToDate>false</LinksUpToDate>
  <CharactersWithSpaces>11574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2019-02-12T10:04:00Z</dcterms:created>
  <dc:creator>Administrator</dc:creator>
  <cp:lastModifiedBy>lenovo</cp:lastModifiedBy>
  <dcterms:modified xsi:type="dcterms:W3CDTF">2019-02-14T03:39:12Z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